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197" w:rsidRPr="00971490" w:rsidRDefault="00A51197" w:rsidP="00A51197">
      <w:pPr>
        <w:rPr>
          <w:b/>
          <w:sz w:val="23"/>
          <w:szCs w:val="23"/>
        </w:rPr>
      </w:pPr>
      <w:r w:rsidRPr="00971490">
        <w:rPr>
          <w:b/>
          <w:sz w:val="23"/>
          <w:szCs w:val="23"/>
        </w:rPr>
        <w:t>Assoc Prof by Clinical Expertise and Innovation</w:t>
      </w:r>
      <w:r>
        <w:rPr>
          <w:b/>
          <w:sz w:val="23"/>
          <w:szCs w:val="23"/>
        </w:rPr>
        <w:t>:  SAMPLE 11/25/14</w:t>
      </w:r>
    </w:p>
    <w:p w:rsidR="00A51197" w:rsidRDefault="00A51197" w:rsidP="00A51197">
      <w:pPr>
        <w:pStyle w:val="H2"/>
      </w:pPr>
    </w:p>
    <w:p w:rsidR="00A51197" w:rsidRDefault="006D4F5A" w:rsidP="00A51197">
      <w:pPr>
        <w:pStyle w:val="H2"/>
      </w:pPr>
      <w:hyperlink r:id="rId5" w:history="1">
        <w:r w:rsidR="00A51197">
          <w:rPr>
            <w:rStyle w:val="Hyperlink"/>
          </w:rPr>
          <w:t>Narrative Report</w:t>
        </w:r>
      </w:hyperlink>
      <w:r w:rsidR="00A51197">
        <w:t xml:space="preserve"> </w:t>
      </w:r>
    </w:p>
    <w:p w:rsidR="00A51197" w:rsidRDefault="00A51197" w:rsidP="00A51197">
      <w:pPr>
        <w:pStyle w:val="NormalWeb"/>
        <w:spacing w:before="0" w:beforeAutospacing="0" w:after="0" w:afterAutospacing="0"/>
        <w:outlineLvl w:val="0"/>
        <w:rPr>
          <w:sz w:val="4"/>
        </w:rPr>
      </w:pPr>
    </w:p>
    <w:tbl>
      <w:tblPr>
        <w:tblW w:w="5000" w:type="pct"/>
        <w:tblBorders>
          <w:top w:val="single" w:sz="4" w:space="0" w:color="auto"/>
          <w:left w:val="single" w:sz="4" w:space="0" w:color="auto"/>
          <w:bottom w:val="single" w:sz="4" w:space="0" w:color="auto"/>
          <w:right w:val="single" w:sz="4" w:space="0" w:color="auto"/>
        </w:tblBorders>
        <w:shd w:val="clear" w:color="auto" w:fill="CCCCCC"/>
        <w:tblCellMar>
          <w:left w:w="72" w:type="dxa"/>
          <w:right w:w="72" w:type="dxa"/>
        </w:tblCellMar>
        <w:tblLook w:val="01E0" w:firstRow="1" w:lastRow="1" w:firstColumn="1" w:lastColumn="1" w:noHBand="0" w:noVBand="0"/>
      </w:tblPr>
      <w:tblGrid>
        <w:gridCol w:w="9504"/>
      </w:tblGrid>
      <w:tr w:rsidR="00A51197" w:rsidTr="00481583">
        <w:trPr>
          <w:trHeight w:val="144"/>
          <w:hidden/>
        </w:trPr>
        <w:tc>
          <w:tcPr>
            <w:tcW w:w="5000" w:type="pct"/>
            <w:shd w:val="clear" w:color="auto" w:fill="CCCCCC"/>
          </w:tcPr>
          <w:p w:rsidR="00A51197" w:rsidRDefault="00A51197" w:rsidP="00481583">
            <w:pPr>
              <w:pStyle w:val="NormalWeb"/>
              <w:spacing w:before="0" w:beforeAutospacing="0" w:after="0" w:afterAutospacing="0"/>
              <w:outlineLvl w:val="0"/>
              <w:rPr>
                <w:b/>
                <w:vanish/>
                <w:color w:val="000080"/>
                <w:sz w:val="18"/>
              </w:rPr>
            </w:pPr>
            <w:r>
              <w:rPr>
                <w:vanish/>
                <w:color w:val="000080"/>
                <w:sz w:val="18"/>
              </w:rPr>
              <w:t>In general, we suggest the following structure for the narrative:</w:t>
            </w:r>
          </w:p>
          <w:p w:rsidR="00A51197" w:rsidRDefault="00A51197" w:rsidP="00481583">
            <w:pPr>
              <w:pStyle w:val="NormalWeb"/>
              <w:numPr>
                <w:ilvl w:val="0"/>
                <w:numId w:val="1"/>
              </w:numPr>
              <w:spacing w:before="0" w:beforeAutospacing="0" w:after="0" w:afterAutospacing="0"/>
              <w:outlineLvl w:val="0"/>
              <w:rPr>
                <w:b/>
                <w:vanish/>
                <w:color w:val="000080"/>
                <w:sz w:val="18"/>
              </w:rPr>
            </w:pPr>
            <w:r>
              <w:rPr>
                <w:vanish/>
                <w:color w:val="000080"/>
                <w:sz w:val="18"/>
              </w:rPr>
              <w:t>An opening paragraph that provides an overall summary of your major activities and achievements.  Include an estimate of the proportion of your effort dedicated to teaching, research, clinical service, administrative activities and other relevant professional roles</w:t>
            </w:r>
          </w:p>
          <w:p w:rsidR="00A51197" w:rsidRDefault="00A51197" w:rsidP="00481583">
            <w:pPr>
              <w:pStyle w:val="NormalWeb"/>
              <w:numPr>
                <w:ilvl w:val="0"/>
                <w:numId w:val="1"/>
              </w:numPr>
              <w:spacing w:before="0" w:beforeAutospacing="0" w:after="0" w:afterAutospacing="0"/>
              <w:outlineLvl w:val="0"/>
              <w:rPr>
                <w:b/>
                <w:vanish/>
                <w:color w:val="000080"/>
                <w:sz w:val="18"/>
              </w:rPr>
            </w:pPr>
            <w:r>
              <w:rPr>
                <w:vanish/>
                <w:color w:val="000080"/>
                <w:sz w:val="18"/>
              </w:rPr>
              <w:t xml:space="preserve">Description of achievements in your </w:t>
            </w:r>
            <w:r>
              <w:rPr>
                <w:b/>
                <w:vanish/>
                <w:color w:val="000080"/>
                <w:sz w:val="18"/>
              </w:rPr>
              <w:t xml:space="preserve">Area of Excellence </w:t>
            </w:r>
            <w:r>
              <w:rPr>
                <w:vanish/>
                <w:color w:val="000080"/>
                <w:sz w:val="18"/>
              </w:rPr>
              <w:t>(Investigation, Teaching and Educational Leadership, or Clinical Expertise and Innovation); may include a description of work in progress such as pending grants or manuscripts in preparation</w:t>
            </w:r>
          </w:p>
          <w:p w:rsidR="00A51197" w:rsidRDefault="00A51197" w:rsidP="00481583">
            <w:pPr>
              <w:pStyle w:val="NormalWeb"/>
              <w:numPr>
                <w:ilvl w:val="0"/>
                <w:numId w:val="1"/>
              </w:numPr>
              <w:spacing w:before="0" w:beforeAutospacing="0" w:after="0" w:afterAutospacing="0"/>
              <w:outlineLvl w:val="0"/>
              <w:rPr>
                <w:b/>
                <w:vanish/>
                <w:color w:val="000080"/>
                <w:sz w:val="18"/>
              </w:rPr>
            </w:pPr>
            <w:r>
              <w:rPr>
                <w:vanish/>
                <w:color w:val="000080"/>
                <w:sz w:val="18"/>
              </w:rPr>
              <w:t xml:space="preserve">Description of contributions to </w:t>
            </w:r>
            <w:r>
              <w:rPr>
                <w:b/>
                <w:vanish/>
                <w:color w:val="000080"/>
                <w:sz w:val="18"/>
              </w:rPr>
              <w:t>Teaching and Education</w:t>
            </w:r>
            <w:r>
              <w:rPr>
                <w:vanish/>
                <w:color w:val="000080"/>
                <w:sz w:val="18"/>
              </w:rPr>
              <w:t xml:space="preserve"> (if not your area of excellence).  This may include a description of mentorship activities not discussed elsewhere in the CV</w:t>
            </w:r>
          </w:p>
          <w:p w:rsidR="00A51197" w:rsidRDefault="00A51197" w:rsidP="00481583">
            <w:pPr>
              <w:pStyle w:val="NormalWeb"/>
              <w:numPr>
                <w:ilvl w:val="0"/>
                <w:numId w:val="1"/>
              </w:numPr>
              <w:spacing w:before="0" w:beforeAutospacing="0" w:after="0" w:afterAutospacing="0"/>
              <w:outlineLvl w:val="0"/>
              <w:rPr>
                <w:b/>
                <w:vanish/>
                <w:color w:val="000080"/>
                <w:sz w:val="18"/>
              </w:rPr>
            </w:pPr>
            <w:r>
              <w:rPr>
                <w:vanish/>
                <w:color w:val="000080"/>
                <w:sz w:val="18"/>
              </w:rPr>
              <w:t xml:space="preserve">Description of contributions in </w:t>
            </w:r>
            <w:r>
              <w:rPr>
                <w:b/>
                <w:vanish/>
                <w:color w:val="000080"/>
                <w:sz w:val="18"/>
              </w:rPr>
              <w:t>Significant Supporting Activities</w:t>
            </w:r>
            <w:r>
              <w:rPr>
                <w:vanish/>
                <w:color w:val="000080"/>
                <w:sz w:val="18"/>
              </w:rPr>
              <w:t>, if any</w:t>
            </w:r>
          </w:p>
          <w:p w:rsidR="00A51197" w:rsidRDefault="00A51197" w:rsidP="00481583">
            <w:pPr>
              <w:pStyle w:val="instruction"/>
              <w:numPr>
                <w:ilvl w:val="0"/>
                <w:numId w:val="1"/>
              </w:numPr>
            </w:pPr>
            <w:r>
              <w:rPr>
                <w:rFonts w:ascii="Times New Roman" w:hAnsi="Times New Roman"/>
              </w:rPr>
              <w:t>A final paragraph that integrates and summarizes the contributions described above</w:t>
            </w:r>
          </w:p>
        </w:tc>
      </w:tr>
    </w:tbl>
    <w:p w:rsidR="00A51197" w:rsidRDefault="00A51197" w:rsidP="00A51197">
      <w:pPr>
        <w:rPr>
          <w:sz w:val="16"/>
        </w:rPr>
      </w:pPr>
    </w:p>
    <w:tbl>
      <w:tblPr>
        <w:tblW w:w="0" w:type="auto"/>
        <w:tblLook w:val="00BF" w:firstRow="1" w:lastRow="0" w:firstColumn="1" w:lastColumn="0" w:noHBand="0" w:noVBand="0"/>
      </w:tblPr>
      <w:tblGrid>
        <w:gridCol w:w="9576"/>
      </w:tblGrid>
      <w:tr w:rsidR="00A51197" w:rsidTr="00481583">
        <w:tc>
          <w:tcPr>
            <w:tcW w:w="10440" w:type="dxa"/>
          </w:tcPr>
          <w:p w:rsidR="00A51197" w:rsidRDefault="00A51197" w:rsidP="00481583">
            <w:pPr>
              <w:pStyle w:val="BodyTextIndent3"/>
              <w:tabs>
                <w:tab w:val="left" w:pos="1178"/>
                <w:tab w:val="left" w:pos="1302"/>
                <w:tab w:val="left" w:pos="1612"/>
                <w:tab w:val="left" w:pos="8866"/>
              </w:tabs>
              <w:ind w:left="0" w:right="913"/>
              <w:rPr>
                <w:sz w:val="24"/>
              </w:rPr>
            </w:pPr>
            <w:r>
              <w:rPr>
                <w:sz w:val="24"/>
              </w:rPr>
              <w:t xml:space="preserve">      I specialize in Obstetric Anesthesia at MGH. After completing my residency at BWH in 1994, I joined the faculty at MGH/HMS where I provide clinical care (70% effort), supervise trainees and conduct research on obstetric anesthesia, medical education and patient safety.  </w:t>
            </w:r>
          </w:p>
          <w:p w:rsidR="00A51197" w:rsidRDefault="00A51197" w:rsidP="00481583">
            <w:pPr>
              <w:pStyle w:val="BodyTextIndent3"/>
              <w:tabs>
                <w:tab w:val="left" w:pos="1178"/>
                <w:tab w:val="left" w:pos="1302"/>
                <w:tab w:val="left" w:pos="1612"/>
                <w:tab w:val="left" w:pos="8866"/>
              </w:tabs>
              <w:ind w:left="0" w:right="913"/>
              <w:rPr>
                <w:sz w:val="24"/>
              </w:rPr>
            </w:pPr>
            <w:r>
              <w:rPr>
                <w:sz w:val="24"/>
              </w:rPr>
              <w:t xml:space="preserve">      My clinical interests and expertise revolve around improving the care of obstetric patients, many with complicated co-morbid illness and often in settings requiring urgent medical interventions.  As a founding member of the MGH obstetric anesthesia service (and former Co-Chief of the division), I have h</w:t>
            </w:r>
            <w:bookmarkStart w:id="0" w:name="_GoBack"/>
            <w:bookmarkEnd w:id="0"/>
            <w:r>
              <w:rPr>
                <w:sz w:val="24"/>
              </w:rPr>
              <w:t xml:space="preserve">ad a leadership role in establishing clinical protocols, fostering an interdisciplinary approach to patient care and growing an exemplary service for the training of anesthesiology residents and fellows. The impact and dissemination of my clinical expertise has been enhanced via national and international mechanisms: I lecture nationally and internationally about innovations in obstetric care and patient safety, and I contribute meaningfully to professional committee work focused on elevating the quality of patient care.  I have developed web-based and digital educational material (including the “app” </w:t>
            </w:r>
            <w:r>
              <w:rPr>
                <w:sz w:val="24"/>
                <w:u w:val="single"/>
              </w:rPr>
              <w:t>Obstetric Anesthesia</w:t>
            </w:r>
            <w:r>
              <w:rPr>
                <w:sz w:val="24"/>
              </w:rPr>
              <w:t xml:space="preserve"> for mobile devices, and “expert opinion” material for the webpage of the Society for Obstetric Anesthesia and Perinatology (SOAP) and published other material (original manuscripts and chapters) about obstetric anesthesia.  I am the editor for Obstetric Anesthesia of </w:t>
            </w:r>
            <w:r>
              <w:rPr>
                <w:sz w:val="24"/>
                <w:u w:val="single"/>
              </w:rPr>
              <w:t>OpenAnesthesia.org</w:t>
            </w:r>
            <w:r>
              <w:rPr>
                <w:sz w:val="24"/>
              </w:rPr>
              <w:t>, the innovative on-line wiki and resource sponsored by the International Anesthesia Research Society. This has allowed me to develop more global mechanisms through which anesthesiologists can both learn from and contribute to advances in clinical care.</w:t>
            </w:r>
          </w:p>
          <w:p w:rsidR="00A51197" w:rsidRDefault="00A51197" w:rsidP="00481583">
            <w:pPr>
              <w:pStyle w:val="BodyTextIndent3"/>
              <w:tabs>
                <w:tab w:val="left" w:pos="1178"/>
                <w:tab w:val="left" w:pos="1302"/>
                <w:tab w:val="left" w:pos="1612"/>
                <w:tab w:val="left" w:pos="8866"/>
              </w:tabs>
              <w:ind w:left="0" w:right="913"/>
              <w:rPr>
                <w:sz w:val="24"/>
              </w:rPr>
            </w:pPr>
            <w:r>
              <w:rPr>
                <w:sz w:val="24"/>
              </w:rPr>
              <w:t xml:space="preserve">     A desire to improve the quality and safety of patient care has fueled my efforts to be an effective teacher. I have completed two separate fellowships in Medical Education through HMS and am a member of the HMS Academy. I am completing the Comprehensive Fellowship in Patient Safety Leadership. I seek ways to be innovative in the methods of teaching, as well as in developing the content to be taught. I have used simulation-based techniques to help trainees “speak up” across authority gradients to improve education and patient safety; I am also evaluating how simulation-based and web-based teaching (e.g., “Spaced-ED”) may enhance memory retention by trainees.  I have received competitive funding for these medical education projects (including a FAER Research in Education Grant) and have mentored many trainees who are future leaders in medical education. My local and national teaching and mentoring awards include “Teacher of the Year” from SOAP and the “Mentoring Award” from the American Society of Anesthesiology (ASA). I serve on the Education Advisory Board of the Association of University Anesthesiologists and was elected to the prestigious FAER Academy of Education Mentors in Anesthesiology. </w:t>
            </w:r>
          </w:p>
          <w:p w:rsidR="00A51197" w:rsidRDefault="00A51197" w:rsidP="00481583">
            <w:pPr>
              <w:pStyle w:val="BodyTextIndent3"/>
              <w:tabs>
                <w:tab w:val="left" w:pos="1178"/>
                <w:tab w:val="left" w:pos="1302"/>
                <w:tab w:val="left" w:pos="1612"/>
                <w:tab w:val="left" w:pos="8866"/>
              </w:tabs>
              <w:ind w:left="0" w:right="913"/>
              <w:rPr>
                <w:sz w:val="24"/>
              </w:rPr>
            </w:pPr>
            <w:r>
              <w:rPr>
                <w:sz w:val="24"/>
              </w:rPr>
              <w:t xml:space="preserve">     I have also contributed to the broader institutional missions of MGH/HMS. New initiatives under my leadership as Chair of the Resident Recruitment Committee of our department included (1) introducing strong applicants to potential faculty mentors, (2) </w:t>
            </w:r>
            <w:r>
              <w:rPr>
                <w:sz w:val="24"/>
              </w:rPr>
              <w:lastRenderedPageBreak/>
              <w:t>training interviewers in methods of “appreciative inquiry” and (3) enhancing recruitment of underrepresented minorities through coordinated efforts with the MGH Office of Multicultural Affairs. I am or have been a member of the MGH Office of Women’s Careers Advisory Council,  the Joint Committee on the Status of Women (Faculty Chair, Chair of the Dean’s Award Selection Committee,  Steering Committee),  the HMS Faculty Council, and the HMS Self-Study Subcommittee on Clinical Teaching Facilities, GME &amp; CME.</w:t>
            </w:r>
          </w:p>
        </w:tc>
      </w:tr>
    </w:tbl>
    <w:p w:rsidR="001C2ADE" w:rsidRDefault="001C2ADE"/>
    <w:sectPr w:rsidR="001C2ADE" w:rsidSect="001C2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Italic">
    <w:panose1 w:val="02020503050405090304"/>
    <w:charset w:val="00"/>
    <w:family w:val="auto"/>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644B2"/>
    <w:multiLevelType w:val="hybridMultilevel"/>
    <w:tmpl w:val="662290B2"/>
    <w:lvl w:ilvl="0" w:tplc="FFFFFFFF">
      <w:start w:val="1"/>
      <w:numFmt w:val="bullet"/>
      <w:lvlText w:val=""/>
      <w:lvlJc w:val="left"/>
      <w:pPr>
        <w:tabs>
          <w:tab w:val="num" w:pos="480"/>
        </w:tabs>
        <w:ind w:left="48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51197"/>
    <w:rsid w:val="001C2ADE"/>
    <w:rsid w:val="0055452D"/>
    <w:rsid w:val="006C203B"/>
    <w:rsid w:val="006D4F5A"/>
    <w:rsid w:val="00873D1A"/>
    <w:rsid w:val="00A51197"/>
    <w:rsid w:val="00BC3B52"/>
    <w:rsid w:val="00D01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B6E9E"/>
  <w15:docId w15:val="{DACD91DD-9809-4204-B11B-6223E6BB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1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51197"/>
    <w:pPr>
      <w:spacing w:before="100" w:beforeAutospacing="1" w:after="100" w:afterAutospacing="1"/>
    </w:pPr>
  </w:style>
  <w:style w:type="character" w:styleId="Hyperlink">
    <w:name w:val="Hyperlink"/>
    <w:rsid w:val="00A51197"/>
    <w:rPr>
      <w:color w:val="0000FF"/>
      <w:u w:val="single"/>
    </w:rPr>
  </w:style>
  <w:style w:type="paragraph" w:customStyle="1" w:styleId="instruction">
    <w:name w:val="instruction"/>
    <w:basedOn w:val="Normal"/>
    <w:rsid w:val="00A51197"/>
    <w:pPr>
      <w:ind w:left="64"/>
    </w:pPr>
    <w:rPr>
      <w:rFonts w:ascii="Times New Roman Italic" w:hAnsi="Times New Roman Italic"/>
      <w:vanish/>
      <w:color w:val="000080"/>
      <w:sz w:val="18"/>
    </w:rPr>
  </w:style>
  <w:style w:type="paragraph" w:customStyle="1" w:styleId="H2">
    <w:name w:val="H2"/>
    <w:basedOn w:val="NormalWeb"/>
    <w:rsid w:val="00A51197"/>
    <w:pPr>
      <w:tabs>
        <w:tab w:val="num" w:pos="1320"/>
      </w:tabs>
      <w:spacing w:before="120" w:beforeAutospacing="0" w:after="40" w:afterAutospacing="0"/>
    </w:pPr>
    <w:rPr>
      <w:b/>
    </w:rPr>
  </w:style>
  <w:style w:type="paragraph" w:styleId="BodyTextIndent3">
    <w:name w:val="Body Text Indent 3"/>
    <w:basedOn w:val="Normal"/>
    <w:link w:val="BodyTextIndent3Char"/>
    <w:rsid w:val="00A51197"/>
    <w:pPr>
      <w:spacing w:after="120"/>
      <w:ind w:left="360"/>
    </w:pPr>
    <w:rPr>
      <w:sz w:val="16"/>
      <w:szCs w:val="16"/>
    </w:rPr>
  </w:style>
  <w:style w:type="character" w:customStyle="1" w:styleId="BodyTextIndent3Char">
    <w:name w:val="Body Text Indent 3 Char"/>
    <w:basedOn w:val="DefaultParagraphFont"/>
    <w:link w:val="BodyTextIndent3"/>
    <w:rsid w:val="00A51197"/>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v.hms.harvard.edu/index.php?page=narrativ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4098</Characters>
  <Application>Microsoft Office Word</Application>
  <DocSecurity>0</DocSecurity>
  <Lines>34</Lines>
  <Paragraphs>9</Paragraphs>
  <ScaleCrop>false</ScaleCrop>
  <Company>Partners HealthCare System, Inc.</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Partners Information Systems</dc:creator>
  <cp:lastModifiedBy>Corbosiero, Amy M.</cp:lastModifiedBy>
  <cp:revision>2</cp:revision>
  <dcterms:created xsi:type="dcterms:W3CDTF">2014-11-25T13:09:00Z</dcterms:created>
  <dcterms:modified xsi:type="dcterms:W3CDTF">2019-10-25T17:42:00Z</dcterms:modified>
</cp:coreProperties>
</file>