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2388" w14:textId="135B7741" w:rsidR="00DA7160" w:rsidRPr="00DA7160" w:rsidRDefault="00DA7160" w:rsidP="00744FD7">
      <w:pPr>
        <w:jc w:val="center"/>
        <w:rPr>
          <w:b/>
          <w:bCs/>
        </w:rPr>
      </w:pPr>
      <w:r w:rsidRPr="00DA7160">
        <w:rPr>
          <w:b/>
          <w:bCs/>
        </w:rPr>
        <w:t>Considerations for Craniotomies</w:t>
      </w:r>
    </w:p>
    <w:p w14:paraId="1670CF7C" w14:textId="77777777" w:rsidR="00DA7160" w:rsidRPr="00DF1676" w:rsidRDefault="00DA7160" w:rsidP="00DA7160">
      <w:pPr>
        <w:spacing w:after="0" w:line="240" w:lineRule="auto"/>
        <w:rPr>
          <w:rFonts w:cs="Times New Roman"/>
        </w:rPr>
      </w:pPr>
      <w:r w:rsidRPr="00DF1676">
        <w:rPr>
          <w:rFonts w:cs="Times New Roman"/>
        </w:rPr>
        <w:t xml:space="preserve">1.  There are several important considerations specific to craniotomies, which should be discussed at the pre-operative huddle in addition to all other standard issues (ex. EBL).  These include: </w:t>
      </w:r>
    </w:p>
    <w:p w14:paraId="00D47F93" w14:textId="30127F7F" w:rsidR="00DA7160" w:rsidRPr="00DF1676" w:rsidRDefault="00DA7160" w:rsidP="00DA7160">
      <w:pPr>
        <w:spacing w:after="0" w:line="240" w:lineRule="auto"/>
        <w:ind w:firstLine="720"/>
        <w:rPr>
          <w:rFonts w:cs="Times New Roman"/>
        </w:rPr>
      </w:pPr>
      <w:r w:rsidRPr="00DF1676">
        <w:rPr>
          <w:rFonts w:cs="Times New Roman"/>
        </w:rPr>
        <w:t xml:space="preserve">i.  </w:t>
      </w:r>
      <w:r w:rsidRPr="00DF1676">
        <w:rPr>
          <w:rFonts w:cs="Times New Roman"/>
          <w:b/>
        </w:rPr>
        <w:t>Brain Relaxation</w:t>
      </w:r>
      <w:r w:rsidRPr="00DF1676">
        <w:rPr>
          <w:rFonts w:cs="Times New Roman"/>
        </w:rPr>
        <w:t xml:space="preserve"> to reduce cerebral swelling and edema.  Review the need for </w:t>
      </w:r>
      <w:r w:rsidR="00744FD7">
        <w:rPr>
          <w:rFonts w:cs="Times New Roman"/>
        </w:rPr>
        <w:t>D</w:t>
      </w:r>
      <w:r w:rsidR="00CA0C26">
        <w:rPr>
          <w:rFonts w:cs="Times New Roman"/>
        </w:rPr>
        <w:t xml:space="preserve">examethasone </w:t>
      </w:r>
      <w:r w:rsidRPr="00DF1676">
        <w:rPr>
          <w:rFonts w:cs="Times New Roman"/>
        </w:rPr>
        <w:t xml:space="preserve">(10mg), </w:t>
      </w:r>
      <w:r w:rsidR="00744FD7">
        <w:rPr>
          <w:rFonts w:cs="Times New Roman"/>
        </w:rPr>
        <w:t>L</w:t>
      </w:r>
      <w:r w:rsidRPr="00DF1676">
        <w:rPr>
          <w:rFonts w:cs="Times New Roman"/>
        </w:rPr>
        <w:t xml:space="preserve">asix (20mg), and </w:t>
      </w:r>
      <w:r w:rsidR="00744FD7">
        <w:rPr>
          <w:rFonts w:cs="Times New Roman"/>
        </w:rPr>
        <w:t>M</w:t>
      </w:r>
      <w:r w:rsidRPr="00DF1676">
        <w:rPr>
          <w:rFonts w:cs="Times New Roman"/>
        </w:rPr>
        <w:t xml:space="preserve">annitol.  Typically, at least </w:t>
      </w:r>
      <w:r w:rsidR="00744FD7">
        <w:rPr>
          <w:rFonts w:cs="Times New Roman"/>
        </w:rPr>
        <w:t>D</w:t>
      </w:r>
      <w:r w:rsidR="00CA0C26">
        <w:rPr>
          <w:rFonts w:cs="Times New Roman"/>
        </w:rPr>
        <w:t>examethasone</w:t>
      </w:r>
      <w:r w:rsidRPr="00DF1676">
        <w:rPr>
          <w:rFonts w:cs="Times New Roman"/>
        </w:rPr>
        <w:t xml:space="preserve"> will be administered for all craniotomies.  Mannitol comes in 20% 500cc bags (100g total)</w:t>
      </w:r>
      <w:r w:rsidR="00744FD7">
        <w:rPr>
          <w:rFonts w:cs="Times New Roman"/>
        </w:rPr>
        <w:t xml:space="preserve"> </w:t>
      </w:r>
      <w:r w:rsidRPr="00DF1676">
        <w:rPr>
          <w:rFonts w:cs="Times New Roman"/>
        </w:rPr>
        <w:t xml:space="preserve">and needs a 5uM filter attached to its infusion line. If there is precipitate in the mannitol bag, do not use it.  </w:t>
      </w:r>
    </w:p>
    <w:p w14:paraId="732ECE5D" w14:textId="6A096BB7" w:rsidR="00DA7160" w:rsidRPr="00DF1676" w:rsidRDefault="00DA7160" w:rsidP="00DA7160">
      <w:pPr>
        <w:spacing w:after="0" w:line="240" w:lineRule="auto"/>
        <w:ind w:firstLine="720"/>
        <w:rPr>
          <w:rFonts w:cs="Times New Roman"/>
        </w:rPr>
      </w:pPr>
      <w:r w:rsidRPr="00DF1676">
        <w:rPr>
          <w:rFonts w:cs="Times New Roman"/>
        </w:rPr>
        <w:t xml:space="preserve">ii. </w:t>
      </w:r>
      <w:r w:rsidRPr="00DF1676">
        <w:rPr>
          <w:rFonts w:cs="Times New Roman"/>
          <w:b/>
        </w:rPr>
        <w:t>Seizure Prophylaxis</w:t>
      </w:r>
      <w:r w:rsidRPr="00DF1676">
        <w:rPr>
          <w:rFonts w:cs="Times New Roman"/>
        </w:rPr>
        <w:t xml:space="preserve"> when there may be stimulation of the motor cortex or motor pathways. Keppra</w:t>
      </w:r>
      <w:r w:rsidR="00744FD7">
        <w:rPr>
          <w:rFonts w:cs="Times New Roman"/>
        </w:rPr>
        <w:t xml:space="preserve"> (</w:t>
      </w:r>
      <w:r w:rsidRPr="00DF1676">
        <w:rPr>
          <w:rFonts w:cs="Times New Roman"/>
        </w:rPr>
        <w:t>typically 1-1.5g</w:t>
      </w:r>
      <w:r w:rsidR="00744FD7">
        <w:rPr>
          <w:rFonts w:cs="Times New Roman"/>
        </w:rPr>
        <w:t>)</w:t>
      </w:r>
      <w:r w:rsidRPr="00DF1676">
        <w:rPr>
          <w:rFonts w:cs="Times New Roman"/>
        </w:rPr>
        <w:t xml:space="preserve"> is our usual anti-epileptic</w:t>
      </w:r>
      <w:r w:rsidR="00744FD7">
        <w:rPr>
          <w:rFonts w:cs="Times New Roman"/>
        </w:rPr>
        <w:t xml:space="preserve"> agent</w:t>
      </w:r>
      <w:r w:rsidRPr="00DF1676">
        <w:rPr>
          <w:rFonts w:cs="Times New Roman"/>
        </w:rPr>
        <w:t>, given shortly after induction</w:t>
      </w:r>
      <w:r w:rsidR="00744FD7">
        <w:rPr>
          <w:rFonts w:cs="Times New Roman"/>
        </w:rPr>
        <w:t xml:space="preserve"> as a bolus</w:t>
      </w:r>
      <w:r w:rsidRPr="00DF1676">
        <w:rPr>
          <w:rFonts w:cs="Times New Roman"/>
        </w:rPr>
        <w:t xml:space="preserve">.  </w:t>
      </w:r>
    </w:p>
    <w:p w14:paraId="65AFCD2E" w14:textId="4103BCAF" w:rsidR="00DA7160" w:rsidRPr="00DF1676" w:rsidRDefault="00DA7160" w:rsidP="00DA7160">
      <w:pPr>
        <w:spacing w:after="0" w:line="240" w:lineRule="auto"/>
        <w:ind w:firstLine="720"/>
        <w:rPr>
          <w:rFonts w:cs="Times New Roman"/>
        </w:rPr>
      </w:pPr>
      <w:r w:rsidRPr="00DF1676">
        <w:rPr>
          <w:rFonts w:cs="Times New Roman"/>
        </w:rPr>
        <w:t xml:space="preserve">iii. </w:t>
      </w:r>
      <w:r w:rsidRPr="00DF1676">
        <w:rPr>
          <w:rFonts w:cs="Times New Roman"/>
          <w:b/>
        </w:rPr>
        <w:t>Venous Air Embolism:</w:t>
      </w:r>
      <w:r w:rsidRPr="00DF1676">
        <w:rPr>
          <w:rFonts w:cs="Times New Roman"/>
        </w:rPr>
        <w:t xml:space="preserve"> the risk is elevated if surgical intervention is proximal to a venous sinus, but this can also happen when the bone flap is being removed.  This may necessitate pre-cordial Doppler.  For all these cases, discuss any necessary precautions with our neurosurgical colleagues. </w:t>
      </w:r>
    </w:p>
    <w:p w14:paraId="245F4BC8" w14:textId="77777777" w:rsidR="00DA7160" w:rsidRPr="00DF1676" w:rsidRDefault="00DA7160" w:rsidP="00DA7160">
      <w:pPr>
        <w:spacing w:after="0" w:line="240" w:lineRule="auto"/>
        <w:ind w:firstLine="720"/>
        <w:rPr>
          <w:rFonts w:cs="Times New Roman"/>
        </w:rPr>
      </w:pPr>
      <w:r w:rsidRPr="00DF1676">
        <w:rPr>
          <w:rFonts w:cs="Times New Roman"/>
        </w:rPr>
        <w:t xml:space="preserve">iv. </w:t>
      </w:r>
      <w:r w:rsidRPr="00DF1676">
        <w:rPr>
          <w:rFonts w:cs="Times New Roman"/>
          <w:b/>
        </w:rPr>
        <w:t>Awake craniotomy: i</w:t>
      </w:r>
      <w:r w:rsidRPr="00DF1676">
        <w:rPr>
          <w:rFonts w:cs="Times New Roman"/>
        </w:rPr>
        <w:t xml:space="preserve">f one is indicated (ex. surgery near the speech centers), please refer to the comprehensive cheat sheet from Drs. White-Dzuro and Peterfreund, found on the ether wiki.  </w:t>
      </w:r>
    </w:p>
    <w:p w14:paraId="76EB0AF9" w14:textId="77777777" w:rsidR="00DA7160" w:rsidRPr="00DF1676" w:rsidRDefault="00DA7160" w:rsidP="00DA7160">
      <w:pPr>
        <w:spacing w:after="0" w:line="240" w:lineRule="auto"/>
        <w:rPr>
          <w:rFonts w:cs="Times New Roman"/>
        </w:rPr>
      </w:pPr>
    </w:p>
    <w:p w14:paraId="3210F210" w14:textId="77777777" w:rsidR="00DA7160" w:rsidRPr="00DF1676" w:rsidRDefault="00DA7160" w:rsidP="00DA7160">
      <w:pPr>
        <w:spacing w:after="0" w:line="240" w:lineRule="auto"/>
        <w:rPr>
          <w:rFonts w:cs="Times New Roman"/>
        </w:rPr>
      </w:pPr>
      <w:r w:rsidRPr="00DF1676">
        <w:rPr>
          <w:rFonts w:cs="Times New Roman"/>
        </w:rPr>
        <w:t xml:space="preserve">2. Only one PIV is usually necessary for induction.  A second PIV can be placed after induction. Consider placing the first PIV in the arm ipsilateral to the craniotomy, as that arm may be tucked and access may be lost soon after the patient is placed in final position.  </w:t>
      </w:r>
    </w:p>
    <w:p w14:paraId="4F23102D" w14:textId="77777777" w:rsidR="00DA7160" w:rsidRPr="00DF1676" w:rsidRDefault="00DA7160" w:rsidP="00DA7160">
      <w:pPr>
        <w:spacing w:after="0" w:line="240" w:lineRule="auto"/>
        <w:rPr>
          <w:rFonts w:cs="Times New Roman"/>
        </w:rPr>
      </w:pPr>
    </w:p>
    <w:p w14:paraId="0F306950" w14:textId="4290418D" w:rsidR="00DA7160" w:rsidRPr="00DF1676" w:rsidRDefault="00DA7160" w:rsidP="00DA7160">
      <w:pPr>
        <w:spacing w:after="0" w:line="240" w:lineRule="auto"/>
        <w:rPr>
          <w:rFonts w:cs="Times New Roman"/>
        </w:rPr>
      </w:pPr>
      <w:r w:rsidRPr="00DF1676">
        <w:rPr>
          <w:rFonts w:cs="Times New Roman"/>
        </w:rPr>
        <w:t xml:space="preserve">3. </w:t>
      </w:r>
      <w:r w:rsidR="00FE48EA">
        <w:rPr>
          <w:rFonts w:cs="Times New Roman"/>
        </w:rPr>
        <w:t>Some</w:t>
      </w:r>
      <w:r w:rsidRPr="00DF1676">
        <w:rPr>
          <w:rFonts w:cs="Times New Roman"/>
        </w:rPr>
        <w:t xml:space="preserve"> patients </w:t>
      </w:r>
      <w:r w:rsidR="00FE48EA">
        <w:rPr>
          <w:rFonts w:cs="Times New Roman"/>
        </w:rPr>
        <w:t>may</w:t>
      </w:r>
      <w:r w:rsidRPr="00DF1676">
        <w:rPr>
          <w:rFonts w:cs="Times New Roman"/>
        </w:rPr>
        <w:t xml:space="preserve"> require an arterial line.  In the absence of major co-morbidities, most A-lines can be placed after the OR table has been turned and the drapes are up. The A-line is typically placed on the side contralateral to the CNS lesion, since the ipsilateral arm may be tucked and inaccessible. </w:t>
      </w:r>
    </w:p>
    <w:p w14:paraId="4F44E92B" w14:textId="77777777" w:rsidR="00DA7160" w:rsidRPr="00DF1676" w:rsidRDefault="00DA7160" w:rsidP="00DA7160">
      <w:pPr>
        <w:spacing w:after="0" w:line="240" w:lineRule="auto"/>
        <w:rPr>
          <w:rFonts w:cs="Times New Roman"/>
        </w:rPr>
      </w:pPr>
    </w:p>
    <w:p w14:paraId="21B1FEEC" w14:textId="5F4D02C5" w:rsidR="00DA7160" w:rsidRPr="00DF1676" w:rsidRDefault="00DA7160" w:rsidP="00DA7160">
      <w:pPr>
        <w:spacing w:after="0" w:line="240" w:lineRule="auto"/>
        <w:rPr>
          <w:rFonts w:cs="Times New Roman"/>
        </w:rPr>
      </w:pPr>
      <w:r w:rsidRPr="00DF1676">
        <w:rPr>
          <w:rFonts w:cs="Times New Roman"/>
        </w:rPr>
        <w:t xml:space="preserve">4.  Most patients receive Ancef for pre-operative antibiosis. </w:t>
      </w:r>
    </w:p>
    <w:p w14:paraId="448D7794" w14:textId="77777777" w:rsidR="00DA7160" w:rsidRPr="00DF1676" w:rsidRDefault="00DA7160" w:rsidP="00DA7160">
      <w:pPr>
        <w:spacing w:after="0" w:line="240" w:lineRule="auto"/>
        <w:rPr>
          <w:rFonts w:cs="Times New Roman"/>
        </w:rPr>
      </w:pPr>
    </w:p>
    <w:p w14:paraId="02314C6D" w14:textId="43C0D0C3" w:rsidR="00DA7160" w:rsidRPr="00DF1676" w:rsidRDefault="00DA7160" w:rsidP="00DA7160">
      <w:pPr>
        <w:spacing w:after="0" w:line="240" w:lineRule="auto"/>
        <w:rPr>
          <w:rFonts w:cs="Times New Roman"/>
        </w:rPr>
      </w:pPr>
      <w:r w:rsidRPr="00DF1676">
        <w:rPr>
          <w:rFonts w:cs="Times New Roman"/>
        </w:rPr>
        <w:t xml:space="preserve">5.  Place eye ovals for masking and intubation. Surgery will remove these eye ovals for brain mapping.  After brain mapping is complete, place 3 </w:t>
      </w:r>
      <w:r w:rsidR="00744FD7">
        <w:rPr>
          <w:rFonts w:cs="Times New Roman"/>
        </w:rPr>
        <w:t>T</w:t>
      </w:r>
      <w:r w:rsidRPr="00DF1676">
        <w:rPr>
          <w:rFonts w:cs="Times New Roman"/>
        </w:rPr>
        <w:t xml:space="preserve">egaderms over the eyes and nasal bridge to prevent irritation from prep solutions. </w:t>
      </w:r>
      <w:r w:rsidR="00FE48EA">
        <w:rPr>
          <w:rFonts w:cs="Times New Roman"/>
        </w:rPr>
        <w:t>Chloraprep should NOT be used on the head or neck.</w:t>
      </w:r>
    </w:p>
    <w:p w14:paraId="3F37D8A6" w14:textId="77777777" w:rsidR="00DA7160" w:rsidRDefault="00DA7160"/>
    <w:sectPr w:rsidR="00DA7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60"/>
    <w:rsid w:val="003C65E8"/>
    <w:rsid w:val="00744FD7"/>
    <w:rsid w:val="007F4A09"/>
    <w:rsid w:val="0094046E"/>
    <w:rsid w:val="00CA0C26"/>
    <w:rsid w:val="00D00913"/>
    <w:rsid w:val="00D61AB5"/>
    <w:rsid w:val="00DA7160"/>
    <w:rsid w:val="00FE48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7222"/>
  <w15:chartTrackingRefBased/>
  <w15:docId w15:val="{99C8D6E3-C334-4314-99E1-698B1349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White-Dzuro, Gabrielle A.,MD</dc:creator>
  <cp:keywords/>
  <dc:description/>
  <cp:lastModifiedBy>White-Dzuro, Gabrielle A.,MD</cp:lastModifiedBy>
  <cp:revision>3</cp:revision>
  <dcterms:created xsi:type="dcterms:W3CDTF">2026-04-27T19:44:00Z</dcterms:created>
  <dcterms:modified xsi:type="dcterms:W3CDTF">2026-04-27T19:45:00Z</dcterms:modified>
</cp:coreProperties>
</file>