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33" w:rsidRDefault="00523433" w:rsidP="009567CF">
      <w:pPr>
        <w:pStyle w:val="Body"/>
        <w:rPr>
          <w:rFonts w:ascii="Trebuchet MS"/>
          <w:b/>
          <w:bCs/>
          <w:color w:val="FF0000"/>
          <w:sz w:val="34"/>
          <w:szCs w:val="34"/>
        </w:rPr>
      </w:pPr>
      <w:bookmarkStart w:id="0" w:name="_GoBack"/>
      <w:bookmarkEnd w:id="0"/>
    </w:p>
    <w:p w:rsidR="009567CF" w:rsidRPr="009567CF" w:rsidRDefault="009567CF" w:rsidP="009567CF">
      <w:pPr>
        <w:pStyle w:val="Body"/>
        <w:rPr>
          <w:rFonts w:ascii="Trebuchet MS" w:eastAsia="Trebuchet MS" w:hAnsi="Trebuchet MS" w:cs="Trebuchet MS"/>
          <w:b/>
          <w:bCs/>
          <w:color w:val="FF0000"/>
          <w:sz w:val="34"/>
          <w:szCs w:val="34"/>
        </w:rPr>
      </w:pPr>
      <w:r w:rsidRPr="000844C9">
        <w:rPr>
          <w:rFonts w:ascii="Trebuchet MS"/>
          <w:b/>
          <w:bCs/>
          <w:color w:val="FF0000"/>
          <w:sz w:val="34"/>
          <w:szCs w:val="34"/>
        </w:rPr>
        <w:t>HEART CENTER SPINAL DRAIN INTRAOPERATIVE PRIMER</w:t>
      </w:r>
    </w:p>
    <w:p w:rsidR="00AD114B" w:rsidRDefault="00AD114B">
      <w:pPr>
        <w:rPr>
          <w:b/>
          <w:u w:val="single"/>
        </w:rPr>
      </w:pPr>
      <w:r w:rsidRPr="0096699A">
        <w:rPr>
          <w:b/>
          <w:u w:val="single"/>
        </w:rPr>
        <w:t>Spinal Drain</w:t>
      </w:r>
    </w:p>
    <w:p w:rsidR="00EF4838" w:rsidRPr="00256D9B" w:rsidRDefault="005675C6">
      <w:pPr>
        <w:rPr>
          <w:rFonts w:cs="Times New Roman"/>
          <w:sz w:val="24"/>
          <w:szCs w:val="24"/>
        </w:rPr>
      </w:pPr>
      <w:r w:rsidRPr="00256D9B">
        <w:rPr>
          <w:rFonts w:cs="Times New Roman"/>
          <w:sz w:val="24"/>
          <w:szCs w:val="24"/>
        </w:rPr>
        <w:t>Paraplegia following thoracoabdominal aortic</w:t>
      </w:r>
      <w:r w:rsidR="002C0ED0" w:rsidRPr="00256D9B">
        <w:rPr>
          <w:rFonts w:cs="Times New Roman"/>
          <w:sz w:val="24"/>
          <w:szCs w:val="24"/>
        </w:rPr>
        <w:t xml:space="preserve"> anuerysm (TAAA)</w:t>
      </w:r>
      <w:r w:rsidRPr="00256D9B">
        <w:rPr>
          <w:rFonts w:cs="Times New Roman"/>
          <w:sz w:val="24"/>
          <w:szCs w:val="24"/>
        </w:rPr>
        <w:t xml:space="preserve"> surgery</w:t>
      </w:r>
      <w:r w:rsidR="002C0ED0" w:rsidRPr="00256D9B">
        <w:rPr>
          <w:rFonts w:cs="Times New Roman"/>
          <w:sz w:val="24"/>
          <w:szCs w:val="24"/>
        </w:rPr>
        <w:t xml:space="preserve"> and thoracic endovascular aortic repair (TEVAR) is</w:t>
      </w:r>
      <w:r w:rsidRPr="00256D9B">
        <w:rPr>
          <w:rFonts w:cs="Times New Roman"/>
          <w:sz w:val="24"/>
          <w:szCs w:val="24"/>
        </w:rPr>
        <w:t xml:space="preserve"> one of the most feared complications of the </w:t>
      </w:r>
      <w:r w:rsidR="002C0ED0" w:rsidRPr="00256D9B">
        <w:rPr>
          <w:rFonts w:cs="Times New Roman"/>
          <w:sz w:val="24"/>
          <w:szCs w:val="24"/>
        </w:rPr>
        <w:t>procedure</w:t>
      </w:r>
      <w:r w:rsidRPr="00256D9B">
        <w:rPr>
          <w:rFonts w:cs="Times New Roman"/>
          <w:sz w:val="24"/>
          <w:szCs w:val="24"/>
        </w:rPr>
        <w:t xml:space="preserve"> with a resultant high morbidity associated with its occurrence (</w:t>
      </w:r>
      <w:r w:rsidR="00E06CCD" w:rsidRPr="00256D9B">
        <w:rPr>
          <w:rFonts w:cs="Times New Roman"/>
          <w:sz w:val="24"/>
          <w:szCs w:val="24"/>
        </w:rPr>
        <w:t>8-20%) (</w:t>
      </w:r>
      <w:proofErr w:type="spellStart"/>
      <w:r w:rsidRPr="00256D9B">
        <w:rPr>
          <w:rFonts w:cs="Times New Roman"/>
          <w:sz w:val="24"/>
          <w:szCs w:val="24"/>
        </w:rPr>
        <w:t>Coselli</w:t>
      </w:r>
      <w:proofErr w:type="spellEnd"/>
      <w:r w:rsidRPr="00256D9B">
        <w:rPr>
          <w:rFonts w:cs="Times New Roman"/>
          <w:sz w:val="24"/>
          <w:szCs w:val="24"/>
        </w:rPr>
        <w:t xml:space="preserve"> JS, Jacobs MJ, Cheung AT</w:t>
      </w:r>
      <w:r w:rsidR="00EF4838" w:rsidRPr="00256D9B">
        <w:rPr>
          <w:rFonts w:cs="Times New Roman"/>
          <w:sz w:val="24"/>
          <w:szCs w:val="24"/>
        </w:rPr>
        <w:t xml:space="preserve"> et al</w:t>
      </w:r>
      <w:r w:rsidR="00E06CCD" w:rsidRPr="00256D9B">
        <w:rPr>
          <w:rFonts w:cs="Times New Roman"/>
          <w:sz w:val="24"/>
          <w:szCs w:val="24"/>
        </w:rPr>
        <w:t xml:space="preserve">, </w:t>
      </w:r>
      <w:proofErr w:type="spellStart"/>
      <w:r w:rsidR="002C0ED0" w:rsidRPr="00256D9B">
        <w:rPr>
          <w:rFonts w:eastAsia="Times New Roman" w:cs="Times New Roman"/>
          <w:color w:val="2D2D2D"/>
          <w:sz w:val="24"/>
          <w:szCs w:val="24"/>
        </w:rPr>
        <w:t>Buth</w:t>
      </w:r>
      <w:proofErr w:type="spellEnd"/>
      <w:r w:rsidR="002C0ED0" w:rsidRPr="00256D9B">
        <w:rPr>
          <w:rFonts w:eastAsia="Times New Roman" w:cs="Times New Roman"/>
          <w:color w:val="2D2D2D"/>
          <w:sz w:val="24"/>
          <w:szCs w:val="24"/>
        </w:rPr>
        <w:t xml:space="preserve"> J, </w:t>
      </w:r>
      <w:proofErr w:type="spellStart"/>
      <w:r w:rsidR="002C0ED0" w:rsidRPr="00256D9B">
        <w:rPr>
          <w:rFonts w:eastAsia="Times New Roman" w:cs="Times New Roman"/>
          <w:color w:val="2D2D2D"/>
          <w:sz w:val="24"/>
          <w:szCs w:val="24"/>
        </w:rPr>
        <w:t>Khoynezhad</w:t>
      </w:r>
      <w:proofErr w:type="spellEnd"/>
      <w:r w:rsidR="002C0ED0" w:rsidRPr="00256D9B">
        <w:rPr>
          <w:rFonts w:eastAsia="Times New Roman" w:cs="Times New Roman"/>
          <w:color w:val="2D2D2D"/>
          <w:sz w:val="24"/>
          <w:szCs w:val="24"/>
        </w:rPr>
        <w:t xml:space="preserve"> A, Xenos E, Gutsche JT</w:t>
      </w:r>
      <w:r w:rsidR="002C0ED0" w:rsidRPr="00256D9B">
        <w:rPr>
          <w:rFonts w:cs="Times New Roman"/>
          <w:sz w:val="24"/>
          <w:szCs w:val="24"/>
        </w:rPr>
        <w:t>)</w:t>
      </w:r>
      <w:r w:rsidR="00EF4838" w:rsidRPr="00256D9B">
        <w:rPr>
          <w:rFonts w:cs="Times New Roman"/>
          <w:sz w:val="24"/>
          <w:szCs w:val="24"/>
        </w:rPr>
        <w:t xml:space="preserve">. While surgical techniques have advanced to prevent cord ischemia with shorter cross clamp times, re-anastamosis of segmental arteries, and </w:t>
      </w:r>
      <w:r w:rsidR="008D19B6">
        <w:rPr>
          <w:rFonts w:cs="Times New Roman"/>
          <w:sz w:val="24"/>
          <w:szCs w:val="24"/>
        </w:rPr>
        <w:t>distal aortic perfusion</w:t>
      </w:r>
      <w:r w:rsidR="00EF4838" w:rsidRPr="00256D9B">
        <w:rPr>
          <w:rFonts w:cs="Times New Roman"/>
          <w:sz w:val="24"/>
          <w:szCs w:val="24"/>
        </w:rPr>
        <w:t>; CSF drainage is the most frequently used spinal cord protective measures practiced</w:t>
      </w:r>
      <w:r w:rsidR="00E06CCD" w:rsidRPr="00256D9B">
        <w:rPr>
          <w:rFonts w:cs="Times New Roman"/>
          <w:sz w:val="24"/>
          <w:szCs w:val="24"/>
        </w:rPr>
        <w:t xml:space="preserve"> (</w:t>
      </w:r>
      <w:proofErr w:type="spellStart"/>
      <w:r w:rsidR="00E06CCD" w:rsidRPr="00256D9B">
        <w:rPr>
          <w:sz w:val="24"/>
          <w:szCs w:val="24"/>
        </w:rPr>
        <w:t>Weigang</w:t>
      </w:r>
      <w:proofErr w:type="spellEnd"/>
      <w:r w:rsidR="00E06CCD" w:rsidRPr="00256D9B">
        <w:rPr>
          <w:sz w:val="24"/>
          <w:szCs w:val="24"/>
        </w:rPr>
        <w:t xml:space="preserve"> E et al)</w:t>
      </w:r>
      <w:r w:rsidR="00EF4838" w:rsidRPr="00256D9B">
        <w:rPr>
          <w:rFonts w:cs="Times New Roman"/>
          <w:sz w:val="24"/>
          <w:szCs w:val="24"/>
        </w:rPr>
        <w:t>.</w:t>
      </w:r>
      <w:r w:rsidR="008D19B6">
        <w:rPr>
          <w:rFonts w:cs="Times New Roman"/>
          <w:sz w:val="24"/>
          <w:szCs w:val="24"/>
        </w:rPr>
        <w:t xml:space="preserve"> </w:t>
      </w:r>
      <w:r w:rsidR="008D19B6" w:rsidRPr="008D19B6">
        <w:rPr>
          <w:rFonts w:cs="Times New Roman"/>
          <w:sz w:val="24"/>
          <w:szCs w:val="24"/>
        </w:rPr>
        <w:t>According to the 2010 AHA Guidelines for the Management of Thoracic Aortic Disease, the use of CSF drainage for thoracic aortic procedures is the only Class 1 recommendation fo</w:t>
      </w:r>
      <w:r w:rsidR="008D19B6">
        <w:rPr>
          <w:rFonts w:cs="Times New Roman"/>
          <w:sz w:val="24"/>
          <w:szCs w:val="24"/>
        </w:rPr>
        <w:t>r protection of the spinal cord</w:t>
      </w:r>
      <w:r w:rsidR="008D19B6" w:rsidRPr="008D19B6">
        <w:rPr>
          <w:rFonts w:cs="Times New Roman"/>
          <w:sz w:val="24"/>
          <w:szCs w:val="24"/>
        </w:rPr>
        <w:t xml:space="preserve"> </w:t>
      </w:r>
      <w:r w:rsidR="008D19B6">
        <w:rPr>
          <w:rFonts w:cs="Times New Roman"/>
          <w:sz w:val="24"/>
          <w:szCs w:val="24"/>
        </w:rPr>
        <w:t xml:space="preserve">(Circulation 2010; 121:e266-e369). </w:t>
      </w:r>
      <w:r w:rsidR="00EF4838" w:rsidRPr="00256D9B">
        <w:rPr>
          <w:rFonts w:cs="Times New Roman"/>
          <w:sz w:val="24"/>
          <w:szCs w:val="24"/>
        </w:rPr>
        <w:t xml:space="preserve">The theory behind the benefit of CSF drainage </w:t>
      </w:r>
      <w:r w:rsidR="00340200" w:rsidRPr="00256D9B">
        <w:rPr>
          <w:rFonts w:cs="Times New Roman"/>
          <w:sz w:val="24"/>
          <w:szCs w:val="24"/>
        </w:rPr>
        <w:t xml:space="preserve">is rooted in the understanding that spinal cord perfusion pressure (SCPP) is equal to the systemic mean arterial pressure (MAP) minus the cerebrospinal fluid (CSF) pressure. Thus, decreasing the CSF pressure with external drainage will lead to higher SCPP. </w:t>
      </w:r>
      <w:r w:rsidR="002C0ED0" w:rsidRPr="00256D9B">
        <w:rPr>
          <w:rFonts w:cs="Times New Roman"/>
          <w:sz w:val="24"/>
          <w:szCs w:val="24"/>
        </w:rPr>
        <w:t xml:space="preserve"> </w:t>
      </w:r>
      <w:r w:rsidR="00D948FC" w:rsidRPr="00256D9B">
        <w:rPr>
          <w:rFonts w:cs="Times New Roman"/>
          <w:sz w:val="24"/>
          <w:szCs w:val="24"/>
        </w:rPr>
        <w:t xml:space="preserve">The spinal cord relies on several small plexiform posterolateral spinal arteries for blood flow along with a longitudinal anterior spinal artery. The intercostal (radicular) arteries supply most of these anterior and posterior arteries with the largest intercostal artery arising from T8-L1, commonly known as the artery of Adamkiewicz (Figure </w:t>
      </w:r>
      <w:r w:rsidR="009567CF" w:rsidRPr="00256D9B">
        <w:rPr>
          <w:rFonts w:cs="Times New Roman"/>
          <w:sz w:val="24"/>
          <w:szCs w:val="24"/>
        </w:rPr>
        <w:t>1</w:t>
      </w:r>
      <w:r w:rsidR="00D948FC" w:rsidRPr="00256D9B">
        <w:rPr>
          <w:rFonts w:cs="Times New Roman"/>
          <w:sz w:val="24"/>
          <w:szCs w:val="24"/>
        </w:rPr>
        <w:t>). During TAAA</w:t>
      </w:r>
      <w:r w:rsidR="002C0ED0" w:rsidRPr="00256D9B">
        <w:rPr>
          <w:rFonts w:cs="Times New Roman"/>
          <w:sz w:val="24"/>
          <w:szCs w:val="24"/>
        </w:rPr>
        <w:t xml:space="preserve"> or TEVAR</w:t>
      </w:r>
      <w:r w:rsidR="009B57DB" w:rsidRPr="00256D9B">
        <w:rPr>
          <w:rFonts w:cs="Times New Roman"/>
          <w:sz w:val="24"/>
          <w:szCs w:val="24"/>
        </w:rPr>
        <w:t xml:space="preserve"> surgical manipulation and disruption of this artery is thought to lead to compromised cord perfusion and resultant cord ischemia.</w:t>
      </w:r>
      <w:r w:rsidR="001E7145" w:rsidRPr="00256D9B">
        <w:rPr>
          <w:rFonts w:cs="Times New Roman"/>
          <w:sz w:val="24"/>
          <w:szCs w:val="24"/>
        </w:rPr>
        <w:t xml:space="preserve"> </w:t>
      </w:r>
      <w:r w:rsidR="00EF4838" w:rsidRPr="00256D9B">
        <w:rPr>
          <w:rFonts w:cs="Times New Roman"/>
          <w:sz w:val="24"/>
          <w:szCs w:val="24"/>
        </w:rPr>
        <w:t xml:space="preserve">Risk factors for paraplegia include: prolonged aortic cross-clamp time, perioperative hypotension, old age, diabetes, severe atherosclerotic disease, emergency surgery, and more extensive or previously repaired aortic </w:t>
      </w:r>
      <w:proofErr w:type="spellStart"/>
      <w:r w:rsidR="00EF4838" w:rsidRPr="00256D9B">
        <w:rPr>
          <w:rFonts w:cs="Times New Roman"/>
          <w:sz w:val="24"/>
          <w:szCs w:val="24"/>
        </w:rPr>
        <w:t>aneurysmal</w:t>
      </w:r>
      <w:proofErr w:type="spellEnd"/>
      <w:r w:rsidR="00EF4838" w:rsidRPr="00256D9B">
        <w:rPr>
          <w:rFonts w:cs="Times New Roman"/>
          <w:sz w:val="24"/>
          <w:szCs w:val="24"/>
        </w:rPr>
        <w:t xml:space="preserve"> disease</w:t>
      </w:r>
      <w:r w:rsidR="00E06CCD" w:rsidRPr="00256D9B">
        <w:rPr>
          <w:rFonts w:cs="Times New Roman"/>
          <w:sz w:val="24"/>
          <w:szCs w:val="24"/>
        </w:rPr>
        <w:t xml:space="preserve"> (</w:t>
      </w:r>
      <w:proofErr w:type="spellStart"/>
      <w:r w:rsidR="00E06CCD" w:rsidRPr="00256D9B">
        <w:rPr>
          <w:sz w:val="24"/>
          <w:szCs w:val="24"/>
        </w:rPr>
        <w:t>Fedorow</w:t>
      </w:r>
      <w:proofErr w:type="spellEnd"/>
      <w:r w:rsidR="00E06CCD" w:rsidRPr="00256D9B">
        <w:rPr>
          <w:sz w:val="24"/>
          <w:szCs w:val="24"/>
        </w:rPr>
        <w:t xml:space="preserve"> CA,</w:t>
      </w:r>
      <w:r w:rsidR="00E06CCD" w:rsidRPr="00256D9B">
        <w:rPr>
          <w:rFonts w:eastAsia="Times New Roman" w:cs="Helvetica"/>
          <w:color w:val="2D2D2D"/>
          <w:sz w:val="24"/>
          <w:szCs w:val="24"/>
        </w:rPr>
        <w:t xml:space="preserve"> </w:t>
      </w:r>
      <w:proofErr w:type="spellStart"/>
      <w:r w:rsidR="00E06CCD" w:rsidRPr="00256D9B">
        <w:rPr>
          <w:rFonts w:eastAsia="Times New Roman" w:cs="Helvetica"/>
          <w:color w:val="2D2D2D"/>
          <w:sz w:val="24"/>
          <w:szCs w:val="24"/>
        </w:rPr>
        <w:t>Buth</w:t>
      </w:r>
      <w:proofErr w:type="spellEnd"/>
      <w:r w:rsidR="00E06CCD" w:rsidRPr="00256D9B">
        <w:rPr>
          <w:rFonts w:eastAsia="Times New Roman" w:cs="Helvetica"/>
          <w:color w:val="2D2D2D"/>
          <w:sz w:val="24"/>
          <w:szCs w:val="24"/>
        </w:rPr>
        <w:t xml:space="preserve"> J)</w:t>
      </w:r>
      <w:r w:rsidR="00EF4838" w:rsidRPr="00256D9B">
        <w:rPr>
          <w:rFonts w:cs="Times New Roman"/>
          <w:sz w:val="24"/>
          <w:szCs w:val="24"/>
        </w:rPr>
        <w:t xml:space="preserve">. </w:t>
      </w:r>
    </w:p>
    <w:p w:rsidR="004E0FFC" w:rsidRPr="00256D9B" w:rsidRDefault="004E0FFC">
      <w:pPr>
        <w:rPr>
          <w:rFonts w:cs="Times New Roman"/>
          <w:sz w:val="24"/>
          <w:szCs w:val="24"/>
        </w:rPr>
      </w:pPr>
      <w:r w:rsidRPr="00256D9B">
        <w:rPr>
          <w:rFonts w:cs="Times New Roman"/>
          <w:sz w:val="24"/>
          <w:szCs w:val="24"/>
        </w:rPr>
        <w:t>Spinal Cord Perfusion Pressure: SCPP= MAP- (CSF or CVP {whichever is greater})</w:t>
      </w:r>
    </w:p>
    <w:p w:rsidR="00AD114B" w:rsidRPr="00256D9B" w:rsidRDefault="0072555E">
      <w:pPr>
        <w:rPr>
          <w:rFonts w:cs="Times New Roman"/>
          <w:sz w:val="24"/>
          <w:szCs w:val="24"/>
        </w:rPr>
      </w:pPr>
      <w:r w:rsidRPr="00256D9B">
        <w:rPr>
          <w:rFonts w:cs="Times New Roman"/>
          <w:sz w:val="24"/>
          <w:szCs w:val="24"/>
        </w:rPr>
        <w:t xml:space="preserve">Daily production of CSF is 400-600mL </w:t>
      </w:r>
      <w:r w:rsidR="00C708FC" w:rsidRPr="00256D9B">
        <w:rPr>
          <w:rFonts w:cs="Times New Roman"/>
          <w:sz w:val="24"/>
          <w:szCs w:val="24"/>
        </w:rPr>
        <w:t xml:space="preserve">with </w:t>
      </w:r>
      <w:r w:rsidRPr="00256D9B">
        <w:rPr>
          <w:rFonts w:cs="Times New Roman"/>
          <w:sz w:val="24"/>
          <w:szCs w:val="24"/>
        </w:rPr>
        <w:t>a circulating volume of 150mL in the spinal cord and cerebrum (Sakka L).</w:t>
      </w:r>
    </w:p>
    <w:p w:rsidR="00DB6B6A" w:rsidRPr="00256D9B" w:rsidRDefault="00DB6B6A">
      <w:pPr>
        <w:rPr>
          <w:rFonts w:cs="Times New Roman"/>
          <w:b/>
          <w:sz w:val="24"/>
          <w:szCs w:val="24"/>
          <w:u w:val="single"/>
        </w:rPr>
      </w:pPr>
      <w:r w:rsidRPr="00256D9B">
        <w:rPr>
          <w:rFonts w:cs="Times New Roman"/>
          <w:b/>
          <w:sz w:val="24"/>
          <w:szCs w:val="24"/>
          <w:u w:val="single"/>
        </w:rPr>
        <w:t xml:space="preserve">Spinal Drain </w:t>
      </w:r>
      <w:r w:rsidR="0096699A" w:rsidRPr="00256D9B">
        <w:rPr>
          <w:rFonts w:cs="Times New Roman"/>
          <w:b/>
          <w:sz w:val="24"/>
          <w:szCs w:val="24"/>
          <w:u w:val="single"/>
        </w:rPr>
        <w:t xml:space="preserve">Placement/Management </w:t>
      </w:r>
      <w:r w:rsidRPr="00256D9B">
        <w:rPr>
          <w:rFonts w:cs="Times New Roman"/>
          <w:b/>
          <w:sz w:val="24"/>
          <w:szCs w:val="24"/>
          <w:u w:val="single"/>
        </w:rPr>
        <w:t>Protocol</w:t>
      </w:r>
    </w:p>
    <w:p w:rsidR="009567CF" w:rsidRPr="00256D9B" w:rsidRDefault="009567CF" w:rsidP="009567CF">
      <w:pPr>
        <w:pStyle w:val="Body"/>
        <w:rPr>
          <w:rFonts w:asciiTheme="minorHAnsi" w:hAnsiTheme="minorHAnsi" w:cs="Times New Roman"/>
          <w:sz w:val="24"/>
          <w:szCs w:val="24"/>
          <w:lang w:val="fr-FR"/>
        </w:rPr>
      </w:pPr>
      <w:r w:rsidRPr="00256D9B">
        <w:rPr>
          <w:rFonts w:asciiTheme="minorHAnsi" w:hAnsiTheme="minorHAnsi" w:cs="Times New Roman"/>
          <w:sz w:val="24"/>
          <w:szCs w:val="24"/>
        </w:rPr>
        <w:t>Preferably</w:t>
      </w:r>
      <w:r w:rsidRPr="00256D9B">
        <w:rPr>
          <w:rFonts w:asciiTheme="minorHAnsi" w:hAnsiTheme="minorHAnsi" w:cs="Times New Roman"/>
          <w:sz w:val="24"/>
          <w:szCs w:val="24"/>
          <w:lang w:val="fr-FR"/>
        </w:rPr>
        <w:t xml:space="preserve"> </w:t>
      </w:r>
      <w:r w:rsidRPr="00256D9B">
        <w:rPr>
          <w:rFonts w:asciiTheme="minorHAnsi" w:hAnsiTheme="minorHAnsi" w:cs="Times New Roman"/>
          <w:sz w:val="24"/>
          <w:szCs w:val="24"/>
        </w:rPr>
        <w:t>done</w:t>
      </w:r>
      <w:r w:rsidRPr="00256D9B">
        <w:rPr>
          <w:rFonts w:asciiTheme="minorHAnsi" w:hAnsiTheme="minorHAnsi" w:cs="Times New Roman"/>
          <w:sz w:val="24"/>
          <w:szCs w:val="24"/>
          <w:lang w:val="fr-FR"/>
        </w:rPr>
        <w:t xml:space="preserve"> 24 hours prior to </w:t>
      </w:r>
      <w:r w:rsidRPr="00256D9B">
        <w:rPr>
          <w:rFonts w:asciiTheme="minorHAnsi" w:hAnsiTheme="minorHAnsi" w:cs="Times New Roman"/>
          <w:sz w:val="24"/>
          <w:szCs w:val="24"/>
        </w:rPr>
        <w:t>surgery</w:t>
      </w:r>
      <w:r w:rsidRPr="00256D9B">
        <w:rPr>
          <w:rFonts w:asciiTheme="minorHAnsi" w:hAnsiTheme="minorHAnsi" w:cs="Times New Roman"/>
          <w:sz w:val="24"/>
          <w:szCs w:val="24"/>
          <w:lang w:val="fr-FR"/>
        </w:rPr>
        <w:t xml:space="preserve"> in the CSICU</w:t>
      </w:r>
    </w:p>
    <w:p w:rsidR="00A32CB6" w:rsidRPr="00256D9B" w:rsidRDefault="00A32CB6">
      <w:pPr>
        <w:rPr>
          <w:rFonts w:cs="Times New Roman"/>
          <w:sz w:val="24"/>
          <w:szCs w:val="24"/>
        </w:rPr>
      </w:pPr>
      <w:r w:rsidRPr="00256D9B">
        <w:rPr>
          <w:rFonts w:cs="Times New Roman"/>
          <w:sz w:val="24"/>
          <w:szCs w:val="24"/>
        </w:rPr>
        <w:t>Patient Consent</w:t>
      </w:r>
    </w:p>
    <w:p w:rsidR="00AF64DA" w:rsidRPr="00256D9B" w:rsidRDefault="00AF64DA">
      <w:pPr>
        <w:rPr>
          <w:rFonts w:cs="Times New Roman"/>
          <w:sz w:val="24"/>
          <w:szCs w:val="24"/>
        </w:rPr>
      </w:pPr>
      <w:r w:rsidRPr="00256D9B">
        <w:rPr>
          <w:rFonts w:cs="Times New Roman"/>
          <w:sz w:val="24"/>
          <w:szCs w:val="24"/>
        </w:rPr>
        <w:t>Preferably done awake</w:t>
      </w:r>
      <w:r w:rsidR="00E06CCD" w:rsidRPr="00256D9B">
        <w:rPr>
          <w:rFonts w:cs="Times New Roman"/>
          <w:sz w:val="24"/>
          <w:szCs w:val="24"/>
        </w:rPr>
        <w:t xml:space="preserve"> although placement can be done </w:t>
      </w:r>
      <w:r w:rsidRPr="00256D9B">
        <w:rPr>
          <w:rFonts w:cs="Times New Roman"/>
          <w:sz w:val="24"/>
          <w:szCs w:val="24"/>
        </w:rPr>
        <w:t>in patients under general anesthesia (Estrera AL)</w:t>
      </w:r>
    </w:p>
    <w:p w:rsidR="00A32CB6" w:rsidRPr="00256D9B" w:rsidRDefault="00A32CB6">
      <w:pPr>
        <w:rPr>
          <w:rFonts w:cs="Times New Roman"/>
          <w:sz w:val="24"/>
          <w:szCs w:val="24"/>
        </w:rPr>
      </w:pPr>
      <w:r w:rsidRPr="00256D9B">
        <w:rPr>
          <w:rFonts w:cs="Times New Roman"/>
          <w:sz w:val="24"/>
          <w:szCs w:val="24"/>
        </w:rPr>
        <w:t>Confirm no recent infections or tattoos</w:t>
      </w:r>
      <w:r w:rsidR="00256D9B" w:rsidRPr="00256D9B">
        <w:rPr>
          <w:rFonts w:cs="Times New Roman"/>
          <w:sz w:val="24"/>
          <w:szCs w:val="24"/>
        </w:rPr>
        <w:t xml:space="preserve"> (</w:t>
      </w:r>
      <w:r w:rsidR="00256D9B" w:rsidRPr="00256D9B">
        <w:rPr>
          <w:rFonts w:eastAsia="Times New Roman" w:cs="Helvetica"/>
          <w:color w:val="2D2D2D"/>
          <w:sz w:val="24"/>
          <w:szCs w:val="24"/>
        </w:rPr>
        <w:t>Douglas MJ)</w:t>
      </w:r>
      <w:r w:rsidRPr="00256D9B">
        <w:rPr>
          <w:rFonts w:cs="Times New Roman"/>
          <w:sz w:val="24"/>
          <w:szCs w:val="24"/>
        </w:rPr>
        <w:t xml:space="preserve"> in area of placement</w:t>
      </w:r>
      <w:r w:rsidR="00CD3F7C" w:rsidRPr="00256D9B">
        <w:rPr>
          <w:rFonts w:cs="Times New Roman"/>
          <w:sz w:val="24"/>
          <w:szCs w:val="24"/>
        </w:rPr>
        <w:t xml:space="preserve"> or allergies to equipment </w:t>
      </w:r>
    </w:p>
    <w:p w:rsidR="00941353" w:rsidRPr="00256D9B" w:rsidRDefault="00941353">
      <w:pPr>
        <w:rPr>
          <w:rFonts w:cs="Times New Roman"/>
          <w:sz w:val="24"/>
          <w:szCs w:val="24"/>
        </w:rPr>
      </w:pPr>
      <w:r w:rsidRPr="00256D9B">
        <w:rPr>
          <w:rFonts w:cs="Times New Roman"/>
          <w:sz w:val="24"/>
          <w:szCs w:val="24"/>
        </w:rPr>
        <w:t>Avoid placement if evidence of elevated intracranial pressure</w:t>
      </w:r>
      <w:r w:rsidR="008F3E29" w:rsidRPr="00256D9B">
        <w:rPr>
          <w:rFonts w:cs="Times New Roman"/>
          <w:sz w:val="24"/>
          <w:szCs w:val="24"/>
        </w:rPr>
        <w:t>, abnormal neurocognitive exam</w:t>
      </w:r>
      <w:r w:rsidRPr="00256D9B">
        <w:rPr>
          <w:rFonts w:cs="Times New Roman"/>
          <w:sz w:val="24"/>
          <w:szCs w:val="24"/>
        </w:rPr>
        <w:t xml:space="preserve"> </w:t>
      </w:r>
    </w:p>
    <w:p w:rsidR="00DB6B6A" w:rsidRPr="00256D9B" w:rsidRDefault="00DB6B6A">
      <w:pPr>
        <w:rPr>
          <w:rFonts w:cs="Times New Roman"/>
          <w:sz w:val="24"/>
          <w:szCs w:val="24"/>
        </w:rPr>
      </w:pPr>
      <w:r w:rsidRPr="00256D9B">
        <w:rPr>
          <w:rFonts w:cs="Times New Roman"/>
          <w:sz w:val="24"/>
          <w:szCs w:val="24"/>
        </w:rPr>
        <w:t>Check coagulation profile of the patient</w:t>
      </w:r>
      <w:r w:rsidR="00941353" w:rsidRPr="00256D9B">
        <w:rPr>
          <w:rFonts w:cs="Times New Roman"/>
          <w:sz w:val="24"/>
          <w:szCs w:val="24"/>
        </w:rPr>
        <w:t xml:space="preserve"> (</w:t>
      </w:r>
      <w:proofErr w:type="spellStart"/>
      <w:r w:rsidR="00E06CCD" w:rsidRPr="00256D9B">
        <w:rPr>
          <w:sz w:val="24"/>
          <w:szCs w:val="24"/>
        </w:rPr>
        <w:t>Horlocker</w:t>
      </w:r>
      <w:proofErr w:type="spellEnd"/>
      <w:r w:rsidR="00E06CCD" w:rsidRPr="00256D9B">
        <w:rPr>
          <w:sz w:val="24"/>
          <w:szCs w:val="24"/>
        </w:rPr>
        <w:t xml:space="preserve"> TT</w:t>
      </w:r>
      <w:r w:rsidR="00E06CCD" w:rsidRPr="00256D9B">
        <w:rPr>
          <w:rFonts w:cs="Times New Roman"/>
          <w:sz w:val="24"/>
          <w:szCs w:val="24"/>
        </w:rPr>
        <w:t xml:space="preserve">, </w:t>
      </w:r>
      <w:proofErr w:type="spellStart"/>
      <w:r w:rsidR="00941353" w:rsidRPr="00256D9B">
        <w:rPr>
          <w:rFonts w:cs="Times New Roman"/>
          <w:sz w:val="24"/>
          <w:szCs w:val="24"/>
        </w:rPr>
        <w:t>Fedorow</w:t>
      </w:r>
      <w:proofErr w:type="spellEnd"/>
      <w:r w:rsidR="00941353" w:rsidRPr="00256D9B">
        <w:rPr>
          <w:rFonts w:cs="Times New Roman"/>
          <w:sz w:val="24"/>
          <w:szCs w:val="24"/>
        </w:rPr>
        <w:t xml:space="preserve"> CA)</w:t>
      </w:r>
      <w:r w:rsidR="000C1B6A" w:rsidRPr="00256D9B">
        <w:rPr>
          <w:rFonts w:cs="Times New Roman"/>
          <w:sz w:val="24"/>
          <w:szCs w:val="24"/>
        </w:rPr>
        <w:t>:</w:t>
      </w:r>
    </w:p>
    <w:p w:rsidR="00DB6B6A" w:rsidRPr="00256D9B" w:rsidRDefault="00DB6B6A" w:rsidP="00A32CB6">
      <w:pPr>
        <w:pStyle w:val="ListParagraph"/>
        <w:numPr>
          <w:ilvl w:val="1"/>
          <w:numId w:val="4"/>
        </w:numPr>
        <w:rPr>
          <w:rFonts w:cs="Times New Roman"/>
          <w:sz w:val="24"/>
          <w:szCs w:val="24"/>
        </w:rPr>
      </w:pPr>
      <w:r w:rsidRPr="00256D9B">
        <w:rPr>
          <w:rFonts w:cs="Times New Roman"/>
          <w:sz w:val="24"/>
          <w:szCs w:val="24"/>
        </w:rPr>
        <w:lastRenderedPageBreak/>
        <w:t>Platelets &gt;100</w:t>
      </w:r>
      <w:r w:rsidR="00A32CB6" w:rsidRPr="00256D9B">
        <w:rPr>
          <w:rFonts w:cs="Times New Roman"/>
          <w:sz w:val="24"/>
          <w:szCs w:val="24"/>
        </w:rPr>
        <w:t xml:space="preserve"> </w:t>
      </w:r>
    </w:p>
    <w:p w:rsidR="00DB6B6A" w:rsidRPr="00256D9B" w:rsidRDefault="00941353" w:rsidP="00A32CB6">
      <w:pPr>
        <w:pStyle w:val="ListParagraph"/>
        <w:numPr>
          <w:ilvl w:val="1"/>
          <w:numId w:val="4"/>
        </w:numPr>
        <w:rPr>
          <w:rFonts w:cs="Times New Roman"/>
          <w:sz w:val="24"/>
          <w:szCs w:val="24"/>
        </w:rPr>
      </w:pPr>
      <w:r w:rsidRPr="00256D9B">
        <w:rPr>
          <w:rFonts w:cs="Times New Roman"/>
          <w:sz w:val="24"/>
          <w:szCs w:val="24"/>
        </w:rPr>
        <w:t>INR&lt; 1.3</w:t>
      </w:r>
    </w:p>
    <w:p w:rsidR="000C1B6A" w:rsidRPr="00256D9B" w:rsidRDefault="000C1B6A" w:rsidP="00A32CB6">
      <w:pPr>
        <w:pStyle w:val="ListParagraph"/>
        <w:numPr>
          <w:ilvl w:val="1"/>
          <w:numId w:val="4"/>
        </w:numPr>
        <w:rPr>
          <w:rFonts w:cs="Times New Roman"/>
          <w:sz w:val="24"/>
          <w:szCs w:val="24"/>
        </w:rPr>
      </w:pPr>
      <w:r w:rsidRPr="00256D9B">
        <w:rPr>
          <w:rFonts w:cs="Times New Roman"/>
          <w:sz w:val="24"/>
          <w:szCs w:val="24"/>
        </w:rPr>
        <w:t>Check recent medications given</w:t>
      </w:r>
      <w:r w:rsidR="001A1DFD" w:rsidRPr="00256D9B">
        <w:rPr>
          <w:rFonts w:cs="Times New Roman"/>
          <w:sz w:val="24"/>
          <w:szCs w:val="24"/>
        </w:rPr>
        <w:t xml:space="preserve"> (</w:t>
      </w:r>
      <w:r w:rsidR="00E06CCD" w:rsidRPr="00256D9B">
        <w:rPr>
          <w:rFonts w:cs="Times New Roman"/>
          <w:sz w:val="24"/>
          <w:szCs w:val="24"/>
        </w:rPr>
        <w:t>Appendix</w:t>
      </w:r>
      <w:r w:rsidR="001A1DFD" w:rsidRPr="00256D9B">
        <w:rPr>
          <w:rFonts w:cs="Times New Roman"/>
          <w:sz w:val="24"/>
          <w:szCs w:val="24"/>
        </w:rPr>
        <w:t xml:space="preserve"> 1</w:t>
      </w:r>
      <w:r w:rsidR="000E313E" w:rsidRPr="00256D9B">
        <w:rPr>
          <w:rFonts w:cs="Times New Roman"/>
          <w:sz w:val="24"/>
          <w:szCs w:val="24"/>
        </w:rPr>
        <w:t>)</w:t>
      </w:r>
    </w:p>
    <w:p w:rsidR="00CD3F7C" w:rsidRPr="00256D9B" w:rsidRDefault="00CD3F7C" w:rsidP="00CD3F7C">
      <w:pPr>
        <w:rPr>
          <w:rFonts w:cs="Times New Roman"/>
          <w:sz w:val="24"/>
          <w:szCs w:val="24"/>
        </w:rPr>
      </w:pPr>
      <w:r w:rsidRPr="00256D9B">
        <w:rPr>
          <w:rFonts w:cs="Times New Roman"/>
          <w:sz w:val="24"/>
          <w:szCs w:val="24"/>
          <w:u w:val="single"/>
        </w:rPr>
        <w:t>Gather equipment</w:t>
      </w:r>
      <w:r w:rsidR="000C1B6A" w:rsidRPr="00256D9B">
        <w:rPr>
          <w:rFonts w:cs="Times New Roman"/>
          <w:sz w:val="24"/>
          <w:szCs w:val="24"/>
        </w:rPr>
        <w:t>:</w:t>
      </w:r>
    </w:p>
    <w:p w:rsidR="002E0C8E" w:rsidRPr="00256D9B" w:rsidRDefault="00CD3F7C" w:rsidP="002E0C8E">
      <w:pPr>
        <w:pStyle w:val="ListParagraph"/>
        <w:numPr>
          <w:ilvl w:val="0"/>
          <w:numId w:val="6"/>
        </w:numPr>
        <w:rPr>
          <w:rFonts w:cs="Times New Roman"/>
          <w:sz w:val="24"/>
          <w:szCs w:val="24"/>
        </w:rPr>
      </w:pPr>
      <w:r w:rsidRPr="00256D9B">
        <w:rPr>
          <w:rFonts w:cs="Times New Roman"/>
          <w:sz w:val="24"/>
          <w:szCs w:val="24"/>
        </w:rPr>
        <w:t>Spinal Drain Kit</w:t>
      </w:r>
      <w:r w:rsidR="002E0C8E" w:rsidRPr="00256D9B">
        <w:rPr>
          <w:rFonts w:cs="Times New Roman"/>
          <w:sz w:val="24"/>
          <w:szCs w:val="24"/>
        </w:rPr>
        <w:t xml:space="preserve"> and Spinal Drain Monitoring System</w:t>
      </w:r>
    </w:p>
    <w:p w:rsidR="002E0C8E" w:rsidRPr="00256D9B" w:rsidRDefault="002E0C8E" w:rsidP="002E0C8E">
      <w:pPr>
        <w:pStyle w:val="ListParagraph"/>
        <w:numPr>
          <w:ilvl w:val="0"/>
          <w:numId w:val="6"/>
        </w:numPr>
        <w:rPr>
          <w:rFonts w:cs="Times New Roman"/>
          <w:sz w:val="24"/>
          <w:szCs w:val="24"/>
        </w:rPr>
      </w:pPr>
      <w:r w:rsidRPr="00256D9B">
        <w:rPr>
          <w:rFonts w:cs="Times New Roman"/>
          <w:sz w:val="24"/>
          <w:szCs w:val="24"/>
        </w:rPr>
        <w:t>Epidural Kit</w:t>
      </w:r>
    </w:p>
    <w:p w:rsidR="002E0C8E" w:rsidRPr="00256D9B" w:rsidRDefault="002E0C8E" w:rsidP="002E0C8E">
      <w:pPr>
        <w:pStyle w:val="ListParagraph"/>
        <w:numPr>
          <w:ilvl w:val="1"/>
          <w:numId w:val="6"/>
        </w:numPr>
        <w:rPr>
          <w:rFonts w:cs="Times New Roman"/>
          <w:sz w:val="24"/>
          <w:szCs w:val="24"/>
        </w:rPr>
      </w:pPr>
      <w:r w:rsidRPr="00256D9B">
        <w:rPr>
          <w:rFonts w:cs="Times New Roman"/>
          <w:sz w:val="24"/>
          <w:szCs w:val="24"/>
        </w:rPr>
        <w:t>Drape</w:t>
      </w:r>
    </w:p>
    <w:p w:rsidR="00D04C93" w:rsidRPr="00256D9B" w:rsidRDefault="002E0C8E" w:rsidP="002E0C8E">
      <w:pPr>
        <w:pStyle w:val="ListParagraph"/>
        <w:numPr>
          <w:ilvl w:val="1"/>
          <w:numId w:val="6"/>
        </w:numPr>
        <w:rPr>
          <w:rFonts w:cs="Times New Roman"/>
          <w:sz w:val="24"/>
          <w:szCs w:val="24"/>
        </w:rPr>
      </w:pPr>
      <w:r w:rsidRPr="00256D9B">
        <w:rPr>
          <w:rFonts w:cs="Times New Roman"/>
          <w:sz w:val="24"/>
          <w:szCs w:val="24"/>
        </w:rPr>
        <w:t>Lidocaine and Syringe for local infil</w:t>
      </w:r>
      <w:r w:rsidR="00721B3C" w:rsidRPr="00256D9B">
        <w:rPr>
          <w:rFonts w:cs="Times New Roman"/>
          <w:sz w:val="24"/>
          <w:szCs w:val="24"/>
        </w:rPr>
        <w:t>tration</w:t>
      </w:r>
    </w:p>
    <w:p w:rsidR="000523E0" w:rsidRPr="00256D9B" w:rsidRDefault="00CD3F7C" w:rsidP="000523E0">
      <w:pPr>
        <w:pStyle w:val="ListParagraph"/>
        <w:numPr>
          <w:ilvl w:val="0"/>
          <w:numId w:val="6"/>
        </w:numPr>
        <w:rPr>
          <w:rFonts w:cs="Times New Roman"/>
          <w:sz w:val="24"/>
          <w:szCs w:val="24"/>
        </w:rPr>
      </w:pPr>
      <w:r w:rsidRPr="00256D9B">
        <w:rPr>
          <w:rFonts w:cs="Times New Roman"/>
          <w:sz w:val="24"/>
          <w:szCs w:val="24"/>
        </w:rPr>
        <w:t>Sterile gloves</w:t>
      </w:r>
      <w:r w:rsidR="00721B3C" w:rsidRPr="00256D9B">
        <w:rPr>
          <w:rFonts w:cs="Times New Roman"/>
          <w:sz w:val="24"/>
          <w:szCs w:val="24"/>
        </w:rPr>
        <w:t xml:space="preserve"> </w:t>
      </w:r>
      <w:r w:rsidR="000523E0" w:rsidRPr="00256D9B">
        <w:rPr>
          <w:rFonts w:cs="Times New Roman"/>
          <w:sz w:val="24"/>
          <w:szCs w:val="24"/>
        </w:rPr>
        <w:t>, gown, and h</w:t>
      </w:r>
      <w:r w:rsidR="00721B3C" w:rsidRPr="00256D9B">
        <w:rPr>
          <w:rFonts w:cs="Times New Roman"/>
          <w:sz w:val="24"/>
          <w:szCs w:val="24"/>
        </w:rPr>
        <w:t>at</w:t>
      </w:r>
      <w:r w:rsidR="000523E0" w:rsidRPr="00256D9B">
        <w:rPr>
          <w:rFonts w:cs="Times New Roman"/>
          <w:sz w:val="24"/>
          <w:szCs w:val="24"/>
        </w:rPr>
        <w:t xml:space="preserve"> (for 2 people)</w:t>
      </w:r>
    </w:p>
    <w:p w:rsidR="00721B3C" w:rsidRPr="00256D9B" w:rsidRDefault="00721B3C" w:rsidP="00CD3F7C">
      <w:pPr>
        <w:pStyle w:val="ListParagraph"/>
        <w:numPr>
          <w:ilvl w:val="0"/>
          <w:numId w:val="6"/>
        </w:numPr>
        <w:rPr>
          <w:rFonts w:cs="Times New Roman"/>
          <w:sz w:val="24"/>
          <w:szCs w:val="24"/>
        </w:rPr>
      </w:pPr>
      <w:r w:rsidRPr="00256D9B">
        <w:rPr>
          <w:rFonts w:cs="Times New Roman"/>
          <w:sz w:val="24"/>
          <w:szCs w:val="24"/>
        </w:rPr>
        <w:t>Large surgical sterile drape</w:t>
      </w:r>
    </w:p>
    <w:p w:rsidR="00CD3F7C" w:rsidRPr="00256D9B" w:rsidRDefault="00CD3F7C" w:rsidP="00CD3F7C">
      <w:pPr>
        <w:pStyle w:val="ListParagraph"/>
        <w:numPr>
          <w:ilvl w:val="0"/>
          <w:numId w:val="6"/>
        </w:numPr>
        <w:rPr>
          <w:rFonts w:cs="Times New Roman"/>
          <w:sz w:val="24"/>
          <w:szCs w:val="24"/>
        </w:rPr>
      </w:pPr>
      <w:r w:rsidRPr="00256D9B">
        <w:rPr>
          <w:rFonts w:cs="Times New Roman"/>
          <w:sz w:val="24"/>
          <w:szCs w:val="24"/>
        </w:rPr>
        <w:t>Nursing help</w:t>
      </w:r>
    </w:p>
    <w:p w:rsidR="00CD3F7C" w:rsidRPr="00256D9B" w:rsidRDefault="00CD3F7C" w:rsidP="00CD3F7C">
      <w:pPr>
        <w:rPr>
          <w:rFonts w:cs="Times New Roman"/>
          <w:sz w:val="24"/>
          <w:szCs w:val="24"/>
        </w:rPr>
      </w:pPr>
      <w:r w:rsidRPr="00256D9B">
        <w:rPr>
          <w:rFonts w:cs="Times New Roman"/>
          <w:sz w:val="24"/>
          <w:szCs w:val="24"/>
          <w:u w:val="single"/>
        </w:rPr>
        <w:t>Connect to patient monitors prior to sedation</w:t>
      </w:r>
      <w:r w:rsidRPr="00256D9B">
        <w:rPr>
          <w:rFonts w:cs="Times New Roman"/>
          <w:sz w:val="24"/>
          <w:szCs w:val="24"/>
        </w:rPr>
        <w:t>:</w:t>
      </w:r>
    </w:p>
    <w:p w:rsidR="00CD3F7C" w:rsidRPr="00256D9B" w:rsidRDefault="00CD3F7C" w:rsidP="00CD3F7C">
      <w:pPr>
        <w:pStyle w:val="ListParagraph"/>
        <w:numPr>
          <w:ilvl w:val="0"/>
          <w:numId w:val="5"/>
        </w:numPr>
        <w:rPr>
          <w:rFonts w:cs="Times New Roman"/>
          <w:sz w:val="24"/>
          <w:szCs w:val="24"/>
        </w:rPr>
      </w:pPr>
      <w:r w:rsidRPr="00256D9B">
        <w:rPr>
          <w:rFonts w:cs="Times New Roman"/>
          <w:sz w:val="24"/>
          <w:szCs w:val="24"/>
        </w:rPr>
        <w:t>Pulse ox</w:t>
      </w:r>
    </w:p>
    <w:p w:rsidR="00CD3F7C" w:rsidRPr="00256D9B" w:rsidRDefault="00CD3F7C" w:rsidP="00CD3F7C">
      <w:pPr>
        <w:pStyle w:val="ListParagraph"/>
        <w:numPr>
          <w:ilvl w:val="0"/>
          <w:numId w:val="5"/>
        </w:numPr>
        <w:rPr>
          <w:rFonts w:cs="Times New Roman"/>
          <w:sz w:val="24"/>
          <w:szCs w:val="24"/>
        </w:rPr>
      </w:pPr>
      <w:r w:rsidRPr="00256D9B">
        <w:rPr>
          <w:rFonts w:cs="Times New Roman"/>
          <w:sz w:val="24"/>
          <w:szCs w:val="24"/>
        </w:rPr>
        <w:t>EKG</w:t>
      </w:r>
    </w:p>
    <w:p w:rsidR="00CD3F7C" w:rsidRPr="00256D9B" w:rsidRDefault="00CD3F7C" w:rsidP="00CD3F7C">
      <w:pPr>
        <w:pStyle w:val="ListParagraph"/>
        <w:numPr>
          <w:ilvl w:val="0"/>
          <w:numId w:val="5"/>
        </w:numPr>
        <w:rPr>
          <w:rFonts w:cs="Times New Roman"/>
          <w:sz w:val="24"/>
          <w:szCs w:val="24"/>
        </w:rPr>
      </w:pPr>
      <w:r w:rsidRPr="00256D9B">
        <w:rPr>
          <w:rFonts w:cs="Times New Roman"/>
          <w:sz w:val="24"/>
          <w:szCs w:val="24"/>
        </w:rPr>
        <w:t>Blood pressure</w:t>
      </w:r>
    </w:p>
    <w:p w:rsidR="000D4468" w:rsidRPr="00256D9B" w:rsidRDefault="00CD3F7C" w:rsidP="000D4468">
      <w:pPr>
        <w:rPr>
          <w:rFonts w:cs="Times New Roman"/>
          <w:sz w:val="24"/>
          <w:szCs w:val="24"/>
          <w:u w:val="single"/>
        </w:rPr>
      </w:pPr>
      <w:r w:rsidRPr="00256D9B">
        <w:rPr>
          <w:rFonts w:cs="Times New Roman"/>
          <w:sz w:val="24"/>
          <w:szCs w:val="24"/>
          <w:u w:val="single"/>
        </w:rPr>
        <w:t>Position the patient:</w:t>
      </w:r>
    </w:p>
    <w:p w:rsidR="00CD3F7C" w:rsidRPr="00256D9B" w:rsidRDefault="00721B3C" w:rsidP="000D4468">
      <w:pPr>
        <w:pStyle w:val="ListParagraph"/>
        <w:numPr>
          <w:ilvl w:val="0"/>
          <w:numId w:val="12"/>
        </w:numPr>
        <w:rPr>
          <w:rFonts w:cs="Times New Roman"/>
          <w:sz w:val="24"/>
          <w:szCs w:val="24"/>
        </w:rPr>
      </w:pPr>
      <w:r w:rsidRPr="00256D9B">
        <w:rPr>
          <w:rFonts w:cs="Times New Roman"/>
          <w:sz w:val="24"/>
          <w:szCs w:val="24"/>
        </w:rPr>
        <w:t>L</w:t>
      </w:r>
      <w:r w:rsidR="00CD3F7C" w:rsidRPr="00256D9B">
        <w:rPr>
          <w:rFonts w:cs="Times New Roman"/>
          <w:sz w:val="24"/>
          <w:szCs w:val="24"/>
        </w:rPr>
        <w:t>ateral</w:t>
      </w:r>
      <w:r w:rsidRPr="00256D9B">
        <w:rPr>
          <w:rFonts w:cs="Times New Roman"/>
          <w:sz w:val="24"/>
          <w:szCs w:val="24"/>
        </w:rPr>
        <w:t xml:space="preserve"> position preferred if having difficulty can use s</w:t>
      </w:r>
      <w:r w:rsidR="00CD3F7C" w:rsidRPr="00256D9B">
        <w:rPr>
          <w:rFonts w:cs="Times New Roman"/>
          <w:sz w:val="24"/>
          <w:szCs w:val="24"/>
        </w:rPr>
        <w:t>upine position</w:t>
      </w:r>
      <w:r w:rsidR="00CD3F7C" w:rsidRPr="00256D9B">
        <w:rPr>
          <w:rFonts w:cs="Times New Roman"/>
          <w:sz w:val="24"/>
          <w:szCs w:val="24"/>
        </w:rPr>
        <w:tab/>
      </w:r>
    </w:p>
    <w:p w:rsidR="00CD3F7C" w:rsidRPr="00256D9B" w:rsidRDefault="00BF17FE" w:rsidP="00CD3F7C">
      <w:pPr>
        <w:pStyle w:val="ListParagraph"/>
        <w:numPr>
          <w:ilvl w:val="0"/>
          <w:numId w:val="8"/>
        </w:numPr>
        <w:rPr>
          <w:rFonts w:cs="Times New Roman"/>
          <w:sz w:val="24"/>
          <w:szCs w:val="24"/>
        </w:rPr>
      </w:pPr>
      <w:r w:rsidRPr="00256D9B">
        <w:rPr>
          <w:rFonts w:cs="Times New Roman"/>
          <w:sz w:val="24"/>
          <w:szCs w:val="24"/>
        </w:rPr>
        <w:t xml:space="preserve">L3/4 or </w:t>
      </w:r>
      <w:r w:rsidR="00CD3F7C" w:rsidRPr="00256D9B">
        <w:rPr>
          <w:rFonts w:cs="Times New Roman"/>
          <w:sz w:val="24"/>
          <w:szCs w:val="24"/>
        </w:rPr>
        <w:t>L4/5 vertebral space</w:t>
      </w:r>
      <w:r w:rsidR="00C708FC" w:rsidRPr="00256D9B">
        <w:rPr>
          <w:rFonts w:cs="Times New Roman"/>
          <w:sz w:val="24"/>
          <w:szCs w:val="24"/>
        </w:rPr>
        <w:t xml:space="preserve"> (Boon JM)</w:t>
      </w:r>
    </w:p>
    <w:p w:rsidR="000D4468" w:rsidRPr="00256D9B" w:rsidRDefault="000D4468" w:rsidP="000D4468">
      <w:pPr>
        <w:rPr>
          <w:rFonts w:cs="Times New Roman"/>
          <w:sz w:val="24"/>
          <w:szCs w:val="24"/>
          <w:u w:val="single"/>
        </w:rPr>
      </w:pPr>
      <w:r w:rsidRPr="00256D9B">
        <w:rPr>
          <w:rFonts w:cs="Times New Roman"/>
          <w:sz w:val="24"/>
          <w:szCs w:val="24"/>
          <w:u w:val="single"/>
        </w:rPr>
        <w:t>Insertion Instructions:</w:t>
      </w:r>
    </w:p>
    <w:p w:rsidR="00BF17FE" w:rsidRPr="00256D9B" w:rsidRDefault="008D19B6" w:rsidP="009567CF">
      <w:pPr>
        <w:pStyle w:val="ListParagraph"/>
        <w:numPr>
          <w:ilvl w:val="0"/>
          <w:numId w:val="11"/>
        </w:numPr>
        <w:spacing w:line="480" w:lineRule="auto"/>
        <w:rPr>
          <w:rFonts w:cs="Times New Roman"/>
          <w:sz w:val="24"/>
          <w:szCs w:val="24"/>
        </w:rPr>
      </w:pPr>
      <w:r>
        <w:rPr>
          <w:rFonts w:cs="Times New Roman"/>
          <w:sz w:val="24"/>
          <w:szCs w:val="24"/>
        </w:rPr>
        <w:t xml:space="preserve">Prep and drape the insertion site in a sterile fashion. Apply </w:t>
      </w:r>
      <w:r w:rsidR="00BF17FE" w:rsidRPr="00256D9B">
        <w:rPr>
          <w:rFonts w:cs="Times New Roman"/>
          <w:sz w:val="24"/>
          <w:szCs w:val="24"/>
        </w:rPr>
        <w:t xml:space="preserve">local anesthesia to the potential insertion site. </w:t>
      </w:r>
    </w:p>
    <w:p w:rsidR="00721B3C" w:rsidRPr="00256D9B" w:rsidRDefault="00721B3C" w:rsidP="009567CF">
      <w:pPr>
        <w:pStyle w:val="ListParagraph"/>
        <w:numPr>
          <w:ilvl w:val="0"/>
          <w:numId w:val="11"/>
        </w:numPr>
        <w:spacing w:line="480" w:lineRule="auto"/>
        <w:rPr>
          <w:rFonts w:cs="Times New Roman"/>
          <w:sz w:val="24"/>
          <w:szCs w:val="24"/>
        </w:rPr>
      </w:pPr>
      <w:r w:rsidRPr="00256D9B">
        <w:rPr>
          <w:rFonts w:cs="Times New Roman"/>
          <w:sz w:val="24"/>
          <w:szCs w:val="24"/>
        </w:rPr>
        <w:t xml:space="preserve">Prepare the CSF </w:t>
      </w:r>
      <w:r w:rsidR="00CD0E2E" w:rsidRPr="00256D9B">
        <w:rPr>
          <w:rFonts w:cs="Times New Roman"/>
          <w:sz w:val="24"/>
          <w:szCs w:val="24"/>
        </w:rPr>
        <w:t>catheter</w:t>
      </w:r>
      <w:r w:rsidRPr="00256D9B">
        <w:rPr>
          <w:rFonts w:cs="Times New Roman"/>
          <w:sz w:val="24"/>
          <w:szCs w:val="24"/>
        </w:rPr>
        <w:t xml:space="preserve"> with </w:t>
      </w:r>
      <w:r w:rsidR="0054637B">
        <w:rPr>
          <w:rFonts w:cs="Times New Roman"/>
          <w:sz w:val="24"/>
          <w:szCs w:val="24"/>
        </w:rPr>
        <w:t xml:space="preserve">sterile preservative free </w:t>
      </w:r>
      <w:r w:rsidRPr="00256D9B">
        <w:rPr>
          <w:rFonts w:cs="Times New Roman"/>
          <w:sz w:val="24"/>
          <w:szCs w:val="24"/>
        </w:rPr>
        <w:t xml:space="preserve">saline flush </w:t>
      </w:r>
      <w:r w:rsidR="0054637B">
        <w:rPr>
          <w:rFonts w:cs="Times New Roman"/>
          <w:sz w:val="24"/>
          <w:szCs w:val="24"/>
        </w:rPr>
        <w:t>followed by hydrophobic guideline insertion</w:t>
      </w:r>
      <w:r w:rsidRPr="00256D9B">
        <w:rPr>
          <w:rFonts w:cs="Times New Roman"/>
          <w:sz w:val="24"/>
          <w:szCs w:val="24"/>
        </w:rPr>
        <w:t>.</w:t>
      </w:r>
    </w:p>
    <w:p w:rsidR="00084400" w:rsidRPr="00256D9B" w:rsidRDefault="00084400" w:rsidP="009567CF">
      <w:pPr>
        <w:pStyle w:val="ListParagraph"/>
        <w:numPr>
          <w:ilvl w:val="0"/>
          <w:numId w:val="11"/>
        </w:numPr>
        <w:spacing w:line="480" w:lineRule="auto"/>
        <w:rPr>
          <w:rFonts w:cs="Times New Roman"/>
          <w:sz w:val="24"/>
          <w:szCs w:val="24"/>
        </w:rPr>
      </w:pPr>
      <w:r w:rsidRPr="00256D9B">
        <w:rPr>
          <w:rFonts w:cs="Times New Roman"/>
          <w:sz w:val="24"/>
          <w:szCs w:val="24"/>
        </w:rPr>
        <w:t>Advance the 14 gauge Tu</w:t>
      </w:r>
      <w:r w:rsidR="00AD114B" w:rsidRPr="00256D9B">
        <w:rPr>
          <w:rFonts w:cs="Times New Roman"/>
          <w:sz w:val="24"/>
          <w:szCs w:val="24"/>
        </w:rPr>
        <w:t>o</w:t>
      </w:r>
      <w:r w:rsidRPr="00256D9B">
        <w:rPr>
          <w:rFonts w:cs="Times New Roman"/>
          <w:sz w:val="24"/>
          <w:szCs w:val="24"/>
        </w:rPr>
        <w:t>hy needle either through a midline or paramedian approach. Continue advancement through the dura until free flowing CSF drainage is confirmed</w:t>
      </w:r>
      <w:r w:rsidR="00AD114B" w:rsidRPr="00256D9B">
        <w:rPr>
          <w:rFonts w:cs="Times New Roman"/>
          <w:sz w:val="24"/>
          <w:szCs w:val="24"/>
        </w:rPr>
        <w:t xml:space="preserve"> around the stylet of the Tuohy</w:t>
      </w:r>
      <w:r w:rsidRPr="00256D9B">
        <w:rPr>
          <w:rFonts w:cs="Times New Roman"/>
          <w:sz w:val="24"/>
          <w:szCs w:val="24"/>
        </w:rPr>
        <w:t xml:space="preserve">. Conversely, some practitioners utilize a “Loss of resistance” technique to confirm epidural space then further advanced through the dura. </w:t>
      </w:r>
    </w:p>
    <w:p w:rsidR="00AD114B" w:rsidRPr="00256D9B" w:rsidRDefault="00AD114B" w:rsidP="009567CF">
      <w:pPr>
        <w:pStyle w:val="ListParagraph"/>
        <w:numPr>
          <w:ilvl w:val="0"/>
          <w:numId w:val="11"/>
        </w:numPr>
        <w:spacing w:line="480" w:lineRule="auto"/>
        <w:rPr>
          <w:rFonts w:cs="Times New Roman"/>
          <w:sz w:val="24"/>
          <w:szCs w:val="24"/>
        </w:rPr>
      </w:pPr>
      <w:r w:rsidRPr="00256D9B">
        <w:rPr>
          <w:rFonts w:cs="Times New Roman"/>
          <w:sz w:val="24"/>
          <w:szCs w:val="24"/>
        </w:rPr>
        <w:lastRenderedPageBreak/>
        <w:t xml:space="preserve">Prior to removal of the stylet have the CSF catheter ready </w:t>
      </w:r>
      <w:r w:rsidR="000523E0" w:rsidRPr="00256D9B">
        <w:rPr>
          <w:rFonts w:cs="Times New Roman"/>
          <w:sz w:val="24"/>
          <w:szCs w:val="24"/>
        </w:rPr>
        <w:t>and gowned assistant</w:t>
      </w:r>
      <w:r w:rsidRPr="00256D9B">
        <w:rPr>
          <w:rFonts w:cs="Times New Roman"/>
          <w:sz w:val="24"/>
          <w:szCs w:val="24"/>
        </w:rPr>
        <w:t xml:space="preserve"> </w:t>
      </w:r>
      <w:r w:rsidR="00E96249" w:rsidRPr="00256D9B">
        <w:rPr>
          <w:rFonts w:cs="Times New Roman"/>
          <w:sz w:val="24"/>
          <w:szCs w:val="24"/>
        </w:rPr>
        <w:t>available</w:t>
      </w:r>
      <w:r w:rsidRPr="00256D9B">
        <w:rPr>
          <w:rFonts w:cs="Times New Roman"/>
          <w:sz w:val="24"/>
          <w:szCs w:val="24"/>
        </w:rPr>
        <w:t xml:space="preserve"> for immediate threading through the Tuohy.</w:t>
      </w:r>
    </w:p>
    <w:p w:rsidR="00E96249" w:rsidRPr="00256D9B" w:rsidRDefault="00AD114B" w:rsidP="009567CF">
      <w:pPr>
        <w:pStyle w:val="ListParagraph"/>
        <w:numPr>
          <w:ilvl w:val="0"/>
          <w:numId w:val="11"/>
        </w:numPr>
        <w:spacing w:line="480" w:lineRule="auto"/>
        <w:rPr>
          <w:rFonts w:cs="Times New Roman"/>
          <w:sz w:val="24"/>
          <w:szCs w:val="24"/>
        </w:rPr>
      </w:pPr>
      <w:r w:rsidRPr="00256D9B">
        <w:rPr>
          <w:rFonts w:cs="Times New Roman"/>
          <w:sz w:val="24"/>
          <w:szCs w:val="24"/>
        </w:rPr>
        <w:t>Remove the stylet o</w:t>
      </w:r>
      <w:r w:rsidR="00084400" w:rsidRPr="00256D9B">
        <w:rPr>
          <w:rFonts w:cs="Times New Roman"/>
          <w:sz w:val="24"/>
          <w:szCs w:val="24"/>
        </w:rPr>
        <w:t xml:space="preserve">nce confirmation of </w:t>
      </w:r>
      <w:r w:rsidRPr="00256D9B">
        <w:rPr>
          <w:rFonts w:cs="Times New Roman"/>
          <w:sz w:val="24"/>
          <w:szCs w:val="24"/>
        </w:rPr>
        <w:t xml:space="preserve">continued </w:t>
      </w:r>
      <w:r w:rsidR="00084400" w:rsidRPr="00256D9B">
        <w:rPr>
          <w:rFonts w:cs="Times New Roman"/>
          <w:sz w:val="24"/>
          <w:szCs w:val="24"/>
        </w:rPr>
        <w:t xml:space="preserve">CSF flow, advance the CSF </w:t>
      </w:r>
      <w:r w:rsidR="00721B3C" w:rsidRPr="00256D9B">
        <w:rPr>
          <w:rFonts w:cs="Times New Roman"/>
          <w:sz w:val="24"/>
          <w:szCs w:val="24"/>
        </w:rPr>
        <w:t xml:space="preserve">drainage catheter approximately </w:t>
      </w:r>
      <w:r w:rsidR="00E96249" w:rsidRPr="00256D9B">
        <w:rPr>
          <w:rFonts w:cs="Times New Roman"/>
          <w:sz w:val="24"/>
          <w:szCs w:val="24"/>
        </w:rPr>
        <w:t>10</w:t>
      </w:r>
      <w:r w:rsidR="00084400" w:rsidRPr="00256D9B">
        <w:rPr>
          <w:rFonts w:cs="Times New Roman"/>
          <w:sz w:val="24"/>
          <w:szCs w:val="24"/>
        </w:rPr>
        <w:t xml:space="preserve"> cm into the intrathecal space</w:t>
      </w:r>
      <w:r w:rsidR="000523E0" w:rsidRPr="00256D9B">
        <w:rPr>
          <w:rFonts w:cs="Times New Roman"/>
          <w:sz w:val="24"/>
          <w:szCs w:val="24"/>
        </w:rPr>
        <w:t xml:space="preserve"> (numbers are labeled on the catheter)</w:t>
      </w:r>
      <w:r w:rsidR="00084400" w:rsidRPr="00256D9B">
        <w:rPr>
          <w:rFonts w:cs="Times New Roman"/>
          <w:sz w:val="24"/>
          <w:szCs w:val="24"/>
        </w:rPr>
        <w:t xml:space="preserve">. </w:t>
      </w:r>
      <w:r w:rsidR="00E96249" w:rsidRPr="00256D9B">
        <w:rPr>
          <w:rFonts w:cs="Times New Roman"/>
          <w:sz w:val="24"/>
          <w:szCs w:val="24"/>
        </w:rPr>
        <w:t>Literature describes insertion up to 20cm but has a higher chance of parasthesia or nerve root injury (Cheung AT, Estrera AL, Fedorow CA)</w:t>
      </w:r>
    </w:p>
    <w:p w:rsidR="000523E0" w:rsidRPr="00256D9B" w:rsidRDefault="00084400" w:rsidP="009567CF">
      <w:pPr>
        <w:pStyle w:val="ListParagraph"/>
        <w:numPr>
          <w:ilvl w:val="0"/>
          <w:numId w:val="11"/>
        </w:numPr>
        <w:spacing w:line="480" w:lineRule="auto"/>
        <w:rPr>
          <w:rFonts w:cs="Times New Roman"/>
          <w:sz w:val="24"/>
          <w:szCs w:val="24"/>
        </w:rPr>
      </w:pPr>
      <w:r w:rsidRPr="00256D9B">
        <w:rPr>
          <w:rFonts w:cs="Times New Roman"/>
          <w:sz w:val="24"/>
          <w:szCs w:val="24"/>
        </w:rPr>
        <w:t xml:space="preserve">Then remove </w:t>
      </w:r>
      <w:r w:rsidR="00721B3C" w:rsidRPr="00256D9B">
        <w:rPr>
          <w:rFonts w:cs="Times New Roman"/>
          <w:sz w:val="24"/>
          <w:szCs w:val="24"/>
        </w:rPr>
        <w:t xml:space="preserve">the </w:t>
      </w:r>
      <w:r w:rsidR="000523E0" w:rsidRPr="00256D9B">
        <w:rPr>
          <w:rFonts w:cs="Times New Roman"/>
          <w:sz w:val="24"/>
          <w:szCs w:val="24"/>
        </w:rPr>
        <w:t>Tuohy needle</w:t>
      </w:r>
    </w:p>
    <w:p w:rsidR="00084400" w:rsidRPr="008D19B6" w:rsidRDefault="000523E0" w:rsidP="009567CF">
      <w:pPr>
        <w:pStyle w:val="ListParagraph"/>
        <w:numPr>
          <w:ilvl w:val="0"/>
          <w:numId w:val="11"/>
        </w:numPr>
        <w:spacing w:line="480" w:lineRule="auto"/>
        <w:rPr>
          <w:rFonts w:cs="Times New Roman"/>
          <w:sz w:val="24"/>
          <w:szCs w:val="24"/>
        </w:rPr>
      </w:pPr>
      <w:r w:rsidRPr="008D19B6">
        <w:rPr>
          <w:rFonts w:cs="Times New Roman"/>
          <w:sz w:val="24"/>
          <w:szCs w:val="24"/>
        </w:rPr>
        <w:t>T</w:t>
      </w:r>
      <w:r w:rsidR="00CD0E2E" w:rsidRPr="008D19B6">
        <w:rPr>
          <w:rFonts w:cs="Times New Roman"/>
          <w:sz w:val="24"/>
          <w:szCs w:val="24"/>
        </w:rPr>
        <w:t xml:space="preserve">hen </w:t>
      </w:r>
      <w:r w:rsidRPr="008D19B6">
        <w:rPr>
          <w:rFonts w:cs="Times New Roman"/>
          <w:sz w:val="24"/>
          <w:szCs w:val="24"/>
        </w:rPr>
        <w:t xml:space="preserve">remove </w:t>
      </w:r>
      <w:r w:rsidR="00CD0E2E" w:rsidRPr="008D19B6">
        <w:rPr>
          <w:rFonts w:cs="Times New Roman"/>
          <w:sz w:val="24"/>
          <w:szCs w:val="24"/>
        </w:rPr>
        <w:t xml:space="preserve">guidewire </w:t>
      </w:r>
      <w:r w:rsidR="00084400" w:rsidRPr="008D19B6">
        <w:rPr>
          <w:rFonts w:cs="Times New Roman"/>
          <w:sz w:val="24"/>
          <w:szCs w:val="24"/>
        </w:rPr>
        <w:t>whil</w:t>
      </w:r>
      <w:r w:rsidR="008D19B6" w:rsidRPr="008D19B6">
        <w:rPr>
          <w:rFonts w:cs="Times New Roman"/>
          <w:sz w:val="24"/>
          <w:szCs w:val="24"/>
        </w:rPr>
        <w:t>e keeping the catheter in place;</w:t>
      </w:r>
      <w:r w:rsidR="008D19B6" w:rsidRPr="008D19B6">
        <w:rPr>
          <w:rFonts w:cs="Times New Roman"/>
          <w:color w:val="FF0000"/>
          <w:sz w:val="24"/>
          <w:szCs w:val="24"/>
        </w:rPr>
        <w:t xml:space="preserve"> </w:t>
      </w:r>
      <w:r w:rsidR="008D19B6">
        <w:rPr>
          <w:rFonts w:cs="Times New Roman"/>
          <w:sz w:val="24"/>
          <w:szCs w:val="24"/>
        </w:rPr>
        <w:t>a</w:t>
      </w:r>
      <w:r w:rsidR="008D19B6" w:rsidRPr="008D19B6">
        <w:rPr>
          <w:rFonts w:cs="Times New Roman"/>
          <w:sz w:val="24"/>
          <w:szCs w:val="24"/>
        </w:rPr>
        <w:t xml:space="preserve">pply gentle traction to </w:t>
      </w:r>
      <w:proofErr w:type="spellStart"/>
      <w:r w:rsidR="008D19B6" w:rsidRPr="008D19B6">
        <w:rPr>
          <w:rFonts w:cs="Times New Roman"/>
          <w:sz w:val="24"/>
          <w:szCs w:val="24"/>
        </w:rPr>
        <w:t>guidewire</w:t>
      </w:r>
      <w:proofErr w:type="spellEnd"/>
      <w:r w:rsidR="008D19B6" w:rsidRPr="008D19B6">
        <w:rPr>
          <w:rFonts w:cs="Times New Roman"/>
          <w:sz w:val="24"/>
          <w:szCs w:val="24"/>
        </w:rPr>
        <w:t>.  Avoid wrinkling the catheter as it may lead to tears.</w:t>
      </w:r>
    </w:p>
    <w:p w:rsidR="00584D26" w:rsidRPr="00256D9B" w:rsidRDefault="00084400" w:rsidP="009567CF">
      <w:pPr>
        <w:pStyle w:val="ListParagraph"/>
        <w:numPr>
          <w:ilvl w:val="0"/>
          <w:numId w:val="11"/>
        </w:numPr>
        <w:spacing w:line="480" w:lineRule="auto"/>
        <w:rPr>
          <w:rFonts w:cs="Times New Roman"/>
          <w:sz w:val="24"/>
          <w:szCs w:val="24"/>
        </w:rPr>
      </w:pPr>
      <w:r w:rsidRPr="00256D9B">
        <w:rPr>
          <w:rFonts w:cs="Times New Roman"/>
          <w:sz w:val="24"/>
          <w:szCs w:val="24"/>
        </w:rPr>
        <w:t xml:space="preserve">Confirm </w:t>
      </w:r>
      <w:r w:rsidR="00584D26" w:rsidRPr="00256D9B">
        <w:rPr>
          <w:rFonts w:cs="Times New Roman"/>
          <w:sz w:val="24"/>
          <w:szCs w:val="24"/>
        </w:rPr>
        <w:t xml:space="preserve">appropriate </w:t>
      </w:r>
      <w:r w:rsidRPr="00256D9B">
        <w:rPr>
          <w:rFonts w:cs="Times New Roman"/>
          <w:sz w:val="24"/>
          <w:szCs w:val="24"/>
        </w:rPr>
        <w:t>CSF drainage</w:t>
      </w:r>
      <w:r w:rsidR="00584D26" w:rsidRPr="00256D9B">
        <w:rPr>
          <w:rFonts w:cs="Times New Roman"/>
          <w:sz w:val="24"/>
          <w:szCs w:val="24"/>
        </w:rPr>
        <w:t xml:space="preserve"> from the </w:t>
      </w:r>
      <w:r w:rsidR="00CD0E2E" w:rsidRPr="00256D9B">
        <w:rPr>
          <w:rFonts w:cs="Times New Roman"/>
          <w:sz w:val="24"/>
          <w:szCs w:val="24"/>
        </w:rPr>
        <w:t>CSF</w:t>
      </w:r>
      <w:r w:rsidR="00584D26" w:rsidRPr="00256D9B">
        <w:rPr>
          <w:rFonts w:cs="Times New Roman"/>
          <w:sz w:val="24"/>
          <w:szCs w:val="24"/>
        </w:rPr>
        <w:t xml:space="preserve"> catheter to ensure correct placement and intact catheter. </w:t>
      </w:r>
    </w:p>
    <w:p w:rsidR="00CD0E2E" w:rsidRPr="00256D9B" w:rsidRDefault="00CD0E2E" w:rsidP="009567CF">
      <w:pPr>
        <w:pStyle w:val="ListParagraph"/>
        <w:numPr>
          <w:ilvl w:val="0"/>
          <w:numId w:val="11"/>
        </w:numPr>
        <w:spacing w:line="480" w:lineRule="auto"/>
        <w:rPr>
          <w:rFonts w:cs="Times New Roman"/>
          <w:sz w:val="24"/>
          <w:szCs w:val="24"/>
        </w:rPr>
      </w:pPr>
      <w:r w:rsidRPr="00256D9B">
        <w:rPr>
          <w:rFonts w:cs="Times New Roman"/>
          <w:sz w:val="24"/>
          <w:szCs w:val="24"/>
        </w:rPr>
        <w:t>Attach catheter adapter components to the proximal end of the CSF catheter (see Step by Step guide).</w:t>
      </w:r>
    </w:p>
    <w:p w:rsidR="001A1DFD" w:rsidRPr="00256D9B" w:rsidRDefault="00CD0E2E" w:rsidP="001A1DFD">
      <w:pPr>
        <w:pStyle w:val="ListParagraph"/>
        <w:numPr>
          <w:ilvl w:val="0"/>
          <w:numId w:val="11"/>
        </w:numPr>
        <w:spacing w:line="480" w:lineRule="auto"/>
        <w:rPr>
          <w:rFonts w:cs="Times New Roman"/>
          <w:sz w:val="24"/>
          <w:szCs w:val="24"/>
        </w:rPr>
      </w:pPr>
      <w:r w:rsidRPr="00256D9B">
        <w:rPr>
          <w:rFonts w:cs="Times New Roman"/>
          <w:sz w:val="24"/>
          <w:szCs w:val="24"/>
        </w:rPr>
        <w:t>Connect and retro-prime the CSF drainage/monitoring system with CSF then attach and zero the</w:t>
      </w:r>
      <w:r w:rsidR="000D4468" w:rsidRPr="00256D9B">
        <w:rPr>
          <w:rFonts w:cs="Times New Roman"/>
          <w:sz w:val="24"/>
          <w:szCs w:val="24"/>
        </w:rPr>
        <w:t xml:space="preserve"> transducer to the </w:t>
      </w:r>
      <w:proofErr w:type="spellStart"/>
      <w:r w:rsidR="000D4468" w:rsidRPr="00256D9B">
        <w:rPr>
          <w:rFonts w:cs="Times New Roman"/>
          <w:sz w:val="24"/>
          <w:szCs w:val="24"/>
        </w:rPr>
        <w:t>phlebostatic</w:t>
      </w:r>
      <w:proofErr w:type="spellEnd"/>
      <w:r w:rsidR="000D4468" w:rsidRPr="00256D9B">
        <w:rPr>
          <w:rFonts w:cs="Times New Roman"/>
          <w:sz w:val="24"/>
          <w:szCs w:val="24"/>
        </w:rPr>
        <w:t xml:space="preserve"> axis</w:t>
      </w:r>
      <w:r w:rsidR="008D19B6">
        <w:rPr>
          <w:rFonts w:cs="Times New Roman"/>
          <w:sz w:val="24"/>
          <w:szCs w:val="24"/>
        </w:rPr>
        <w:t xml:space="preserve">. </w:t>
      </w:r>
      <w:r w:rsidR="008D19B6" w:rsidRPr="008D19B6">
        <w:rPr>
          <w:rFonts w:cs="Times New Roman"/>
          <w:sz w:val="24"/>
          <w:szCs w:val="24"/>
        </w:rPr>
        <w:t xml:space="preserve">The transducer MUST NEVER </w:t>
      </w:r>
      <w:proofErr w:type="gramStart"/>
      <w:r w:rsidR="008D19B6" w:rsidRPr="008D19B6">
        <w:rPr>
          <w:rFonts w:cs="Times New Roman"/>
          <w:sz w:val="24"/>
          <w:szCs w:val="24"/>
        </w:rPr>
        <w:t>be</w:t>
      </w:r>
      <w:proofErr w:type="gramEnd"/>
      <w:r w:rsidR="008D19B6" w:rsidRPr="008D19B6">
        <w:rPr>
          <w:rFonts w:cs="Times New Roman"/>
          <w:sz w:val="24"/>
          <w:szCs w:val="24"/>
        </w:rPr>
        <w:t xml:space="preserve"> connected to a pressurized bag.  ALWAYS connect the transducer to a saline filled syringe.</w:t>
      </w:r>
      <w:r w:rsidR="0096699A" w:rsidRPr="00256D9B">
        <w:rPr>
          <w:rFonts w:cs="Times New Roman"/>
          <w:sz w:val="24"/>
          <w:szCs w:val="24"/>
        </w:rPr>
        <w:t xml:space="preserve"> </w:t>
      </w:r>
    </w:p>
    <w:p w:rsidR="00084400" w:rsidRPr="00256D9B" w:rsidRDefault="00584D26" w:rsidP="009567CF">
      <w:pPr>
        <w:pStyle w:val="ListParagraph"/>
        <w:numPr>
          <w:ilvl w:val="0"/>
          <w:numId w:val="11"/>
        </w:numPr>
        <w:spacing w:line="480" w:lineRule="auto"/>
        <w:rPr>
          <w:rFonts w:cs="Times New Roman"/>
          <w:sz w:val="24"/>
          <w:szCs w:val="24"/>
        </w:rPr>
      </w:pPr>
      <w:r w:rsidRPr="00256D9B">
        <w:rPr>
          <w:rFonts w:cs="Times New Roman"/>
          <w:sz w:val="24"/>
          <w:szCs w:val="24"/>
        </w:rPr>
        <w:t xml:space="preserve">Dress the catheter with </w:t>
      </w:r>
      <w:proofErr w:type="spellStart"/>
      <w:r w:rsidRPr="00256D9B">
        <w:rPr>
          <w:rFonts w:cs="Times New Roman"/>
          <w:sz w:val="24"/>
          <w:szCs w:val="24"/>
        </w:rPr>
        <w:t>benzoin</w:t>
      </w:r>
      <w:proofErr w:type="spellEnd"/>
      <w:r w:rsidRPr="00256D9B">
        <w:rPr>
          <w:rFonts w:cs="Times New Roman"/>
          <w:sz w:val="24"/>
          <w:szCs w:val="24"/>
        </w:rPr>
        <w:t xml:space="preserve">, </w:t>
      </w:r>
      <w:r w:rsidR="0054637B">
        <w:rPr>
          <w:rFonts w:cs="Times New Roman"/>
          <w:sz w:val="24"/>
          <w:szCs w:val="24"/>
        </w:rPr>
        <w:t xml:space="preserve">small </w:t>
      </w:r>
      <w:proofErr w:type="spellStart"/>
      <w:r w:rsidRPr="00256D9B">
        <w:rPr>
          <w:rFonts w:cs="Times New Roman"/>
          <w:sz w:val="24"/>
          <w:szCs w:val="24"/>
        </w:rPr>
        <w:t>tegaderm</w:t>
      </w:r>
      <w:proofErr w:type="spellEnd"/>
      <w:r w:rsidR="0054637B">
        <w:rPr>
          <w:rFonts w:cs="Times New Roman"/>
          <w:sz w:val="24"/>
          <w:szCs w:val="24"/>
        </w:rPr>
        <w:t xml:space="preserve">, followed by larger </w:t>
      </w:r>
      <w:proofErr w:type="spellStart"/>
      <w:r w:rsidR="0054637B">
        <w:rPr>
          <w:rFonts w:cs="Times New Roman"/>
          <w:sz w:val="24"/>
          <w:szCs w:val="24"/>
        </w:rPr>
        <w:t>tegaderm</w:t>
      </w:r>
      <w:proofErr w:type="spellEnd"/>
      <w:r w:rsidRPr="00256D9B">
        <w:rPr>
          <w:rFonts w:cs="Times New Roman"/>
          <w:sz w:val="24"/>
          <w:szCs w:val="24"/>
        </w:rPr>
        <w:t xml:space="preserve">, and tape up the </w:t>
      </w:r>
      <w:r w:rsidR="00CD0E2E" w:rsidRPr="00256D9B">
        <w:rPr>
          <w:rFonts w:cs="Times New Roman"/>
          <w:sz w:val="24"/>
          <w:szCs w:val="24"/>
        </w:rPr>
        <w:t>patient’s</w:t>
      </w:r>
      <w:r w:rsidRPr="00256D9B">
        <w:rPr>
          <w:rFonts w:cs="Times New Roman"/>
          <w:sz w:val="24"/>
          <w:szCs w:val="24"/>
        </w:rPr>
        <w:t xml:space="preserve"> right side to avoid surgical draping and prepping area. </w:t>
      </w:r>
      <w:r w:rsidR="0054637B">
        <w:rPr>
          <w:rFonts w:cs="Times New Roman"/>
          <w:sz w:val="24"/>
          <w:szCs w:val="24"/>
        </w:rPr>
        <w:t xml:space="preserve"> (Creating a small loop of the catheter near the insertion point helps avoid catheter kinking, check patency of catheter after surgical positioning).</w:t>
      </w:r>
      <w:r w:rsidR="00084400" w:rsidRPr="00256D9B">
        <w:rPr>
          <w:rFonts w:cs="Times New Roman"/>
          <w:sz w:val="24"/>
          <w:szCs w:val="24"/>
        </w:rPr>
        <w:t xml:space="preserve"> </w:t>
      </w:r>
    </w:p>
    <w:p w:rsidR="001A1DFD" w:rsidRPr="00256D9B" w:rsidRDefault="001A1DFD" w:rsidP="009567CF">
      <w:pPr>
        <w:pStyle w:val="ListParagraph"/>
        <w:numPr>
          <w:ilvl w:val="0"/>
          <w:numId w:val="11"/>
        </w:numPr>
        <w:spacing w:line="480" w:lineRule="auto"/>
        <w:rPr>
          <w:rFonts w:cs="Times New Roman"/>
          <w:sz w:val="24"/>
          <w:szCs w:val="24"/>
        </w:rPr>
      </w:pPr>
      <w:r w:rsidRPr="00256D9B">
        <w:rPr>
          <w:rFonts w:cs="Times New Roman"/>
          <w:sz w:val="24"/>
          <w:szCs w:val="24"/>
        </w:rPr>
        <w:t>If placed 24 hours prior to surgery, drain 1mL (3 drops) of CSF hourly to maintain catheter patency</w:t>
      </w:r>
    </w:p>
    <w:p w:rsidR="000C1B6A" w:rsidRPr="00256D9B" w:rsidRDefault="000C1B6A" w:rsidP="000C1B6A">
      <w:pPr>
        <w:rPr>
          <w:rFonts w:cs="Times New Roman"/>
          <w:sz w:val="24"/>
          <w:szCs w:val="24"/>
          <w:u w:val="single"/>
        </w:rPr>
      </w:pPr>
      <w:r w:rsidRPr="00256D9B">
        <w:rPr>
          <w:rFonts w:cs="Times New Roman"/>
          <w:sz w:val="24"/>
          <w:szCs w:val="24"/>
          <w:u w:val="single"/>
        </w:rPr>
        <w:t>Tips for insertion:</w:t>
      </w:r>
    </w:p>
    <w:p w:rsidR="000D4468" w:rsidRPr="00256D9B" w:rsidRDefault="000523E0" w:rsidP="000C1B6A">
      <w:pPr>
        <w:rPr>
          <w:rFonts w:cs="Times New Roman"/>
          <w:sz w:val="24"/>
          <w:szCs w:val="24"/>
        </w:rPr>
      </w:pPr>
      <w:r w:rsidRPr="00256D9B">
        <w:rPr>
          <w:rFonts w:cs="Times New Roman"/>
          <w:sz w:val="24"/>
          <w:szCs w:val="24"/>
        </w:rPr>
        <w:t>If unable to thread catheter to 10cm,</w:t>
      </w:r>
      <w:r w:rsidR="000C1B6A" w:rsidRPr="00256D9B">
        <w:rPr>
          <w:rFonts w:cs="Times New Roman"/>
          <w:sz w:val="24"/>
          <w:szCs w:val="24"/>
        </w:rPr>
        <w:t xml:space="preserve"> </w:t>
      </w:r>
      <w:r w:rsidR="000D4468" w:rsidRPr="00256D9B">
        <w:rPr>
          <w:rFonts w:cs="Times New Roman"/>
          <w:sz w:val="24"/>
          <w:szCs w:val="24"/>
        </w:rPr>
        <w:t xml:space="preserve">pull BOTH Tuohy needle and catheter out simultaneously </w:t>
      </w:r>
      <w:r w:rsidRPr="00256D9B">
        <w:rPr>
          <w:rFonts w:cs="Times New Roman"/>
          <w:sz w:val="24"/>
          <w:szCs w:val="24"/>
        </w:rPr>
        <w:t>to avoid catheter shea</w:t>
      </w:r>
      <w:r w:rsidR="000D4468" w:rsidRPr="00256D9B">
        <w:rPr>
          <w:rFonts w:cs="Times New Roman"/>
          <w:sz w:val="24"/>
          <w:szCs w:val="24"/>
        </w:rPr>
        <w:t xml:space="preserve">ring. </w:t>
      </w:r>
    </w:p>
    <w:p w:rsidR="000D4468" w:rsidRPr="00256D9B" w:rsidRDefault="000D4468" w:rsidP="000C1B6A">
      <w:pPr>
        <w:rPr>
          <w:rFonts w:cs="Times New Roman"/>
          <w:sz w:val="24"/>
          <w:szCs w:val="24"/>
        </w:rPr>
      </w:pPr>
      <w:r w:rsidRPr="00256D9B">
        <w:rPr>
          <w:rFonts w:cs="Times New Roman"/>
          <w:sz w:val="24"/>
          <w:szCs w:val="24"/>
        </w:rPr>
        <w:lastRenderedPageBreak/>
        <w:t>Keep Tuohy needle stylet in place until absolutely ready to thread CSF catheter, avoiding excessive CSF drainage.</w:t>
      </w:r>
    </w:p>
    <w:p w:rsidR="00DB6B6A" w:rsidRPr="00256D9B" w:rsidRDefault="00B90618">
      <w:pPr>
        <w:rPr>
          <w:rFonts w:cs="Times New Roman"/>
          <w:sz w:val="24"/>
          <w:szCs w:val="24"/>
        </w:rPr>
      </w:pPr>
      <w:r w:rsidRPr="00256D9B">
        <w:rPr>
          <w:rFonts w:cs="Times New Roman"/>
          <w:sz w:val="24"/>
          <w:szCs w:val="24"/>
        </w:rPr>
        <w:t xml:space="preserve">Once in the intrathecal space do not drop the end of the </w:t>
      </w:r>
      <w:r w:rsidR="000D4468" w:rsidRPr="00256D9B">
        <w:rPr>
          <w:rFonts w:cs="Times New Roman"/>
          <w:sz w:val="24"/>
          <w:szCs w:val="24"/>
        </w:rPr>
        <w:t>catheter</w:t>
      </w:r>
      <w:r w:rsidRPr="00256D9B">
        <w:rPr>
          <w:rFonts w:cs="Times New Roman"/>
          <w:sz w:val="24"/>
          <w:szCs w:val="24"/>
        </w:rPr>
        <w:t xml:space="preserve"> below the insertion point, avoids accidental CSF draining</w:t>
      </w:r>
      <w:r w:rsidR="009567CF" w:rsidRPr="00256D9B">
        <w:rPr>
          <w:rFonts w:cs="Times New Roman"/>
          <w:sz w:val="24"/>
          <w:szCs w:val="24"/>
        </w:rPr>
        <w:t>.</w:t>
      </w:r>
    </w:p>
    <w:p w:rsidR="00DB6B6A" w:rsidRPr="00256D9B" w:rsidRDefault="006459B8">
      <w:pPr>
        <w:rPr>
          <w:rFonts w:cs="Times New Roman"/>
          <w:sz w:val="24"/>
          <w:szCs w:val="24"/>
          <w:u w:val="single"/>
        </w:rPr>
      </w:pPr>
      <w:r w:rsidRPr="00256D9B">
        <w:rPr>
          <w:rFonts w:cs="Times New Roman"/>
          <w:sz w:val="24"/>
          <w:szCs w:val="24"/>
          <w:u w:val="single"/>
        </w:rPr>
        <w:t>Risk</w:t>
      </w:r>
      <w:r w:rsidR="00C25C0B" w:rsidRPr="00256D9B">
        <w:rPr>
          <w:rFonts w:cs="Times New Roman"/>
          <w:sz w:val="24"/>
          <w:szCs w:val="24"/>
          <w:u w:val="single"/>
        </w:rPr>
        <w:t>s</w:t>
      </w:r>
      <w:r w:rsidRPr="00256D9B">
        <w:rPr>
          <w:rFonts w:cs="Times New Roman"/>
          <w:sz w:val="24"/>
          <w:szCs w:val="24"/>
          <w:u w:val="single"/>
        </w:rPr>
        <w:t xml:space="preserve"> </w:t>
      </w:r>
      <w:r w:rsidR="00C25C0B" w:rsidRPr="00256D9B">
        <w:rPr>
          <w:rFonts w:cs="Times New Roman"/>
          <w:sz w:val="24"/>
          <w:szCs w:val="24"/>
          <w:u w:val="single"/>
        </w:rPr>
        <w:t>for</w:t>
      </w:r>
      <w:r w:rsidRPr="00256D9B">
        <w:rPr>
          <w:rFonts w:cs="Times New Roman"/>
          <w:sz w:val="24"/>
          <w:szCs w:val="24"/>
          <w:u w:val="single"/>
        </w:rPr>
        <w:t xml:space="preserve"> Spinal He</w:t>
      </w:r>
      <w:r w:rsidR="002F6BC9" w:rsidRPr="00256D9B">
        <w:rPr>
          <w:rFonts w:cs="Times New Roman"/>
          <w:sz w:val="24"/>
          <w:szCs w:val="24"/>
          <w:u w:val="single"/>
        </w:rPr>
        <w:t xml:space="preserve">matoma in a </w:t>
      </w:r>
      <w:proofErr w:type="spellStart"/>
      <w:r w:rsidR="002F6BC9" w:rsidRPr="00256D9B">
        <w:rPr>
          <w:rFonts w:cs="Times New Roman"/>
          <w:sz w:val="24"/>
          <w:szCs w:val="24"/>
          <w:u w:val="single"/>
        </w:rPr>
        <w:t>Heparinized</w:t>
      </w:r>
      <w:proofErr w:type="spellEnd"/>
      <w:r w:rsidR="002F6BC9" w:rsidRPr="00256D9B">
        <w:rPr>
          <w:rFonts w:cs="Times New Roman"/>
          <w:sz w:val="24"/>
          <w:szCs w:val="24"/>
          <w:u w:val="single"/>
        </w:rPr>
        <w:t xml:space="preserve"> patient:</w:t>
      </w:r>
      <w:r w:rsidR="00E06CCD" w:rsidRPr="00256D9B">
        <w:rPr>
          <w:sz w:val="24"/>
          <w:szCs w:val="24"/>
        </w:rPr>
        <w:t xml:space="preserve"> (</w:t>
      </w:r>
      <w:proofErr w:type="spellStart"/>
      <w:r w:rsidR="00E06CCD" w:rsidRPr="00256D9B">
        <w:rPr>
          <w:sz w:val="24"/>
          <w:szCs w:val="24"/>
        </w:rPr>
        <w:t>Fedorow</w:t>
      </w:r>
      <w:proofErr w:type="spellEnd"/>
      <w:r w:rsidR="00E06CCD" w:rsidRPr="00256D9B">
        <w:rPr>
          <w:sz w:val="24"/>
          <w:szCs w:val="24"/>
        </w:rPr>
        <w:t xml:space="preserve"> CA,</w:t>
      </w:r>
      <w:r w:rsidR="00E06CCD" w:rsidRPr="00256D9B">
        <w:rPr>
          <w:rFonts w:eastAsia="Times New Roman" w:cs="Helvetica"/>
          <w:color w:val="2D2D2D"/>
          <w:sz w:val="24"/>
          <w:szCs w:val="24"/>
        </w:rPr>
        <w:t xml:space="preserve"> </w:t>
      </w:r>
      <w:proofErr w:type="spellStart"/>
      <w:r w:rsidR="00E06CCD" w:rsidRPr="00256D9B">
        <w:rPr>
          <w:rFonts w:eastAsia="Times New Roman" w:cs="Helvetica"/>
          <w:color w:val="2D2D2D"/>
          <w:sz w:val="24"/>
          <w:szCs w:val="24"/>
        </w:rPr>
        <w:t>Buth</w:t>
      </w:r>
      <w:proofErr w:type="spellEnd"/>
      <w:r w:rsidR="00E06CCD" w:rsidRPr="00256D9B">
        <w:rPr>
          <w:rFonts w:eastAsia="Times New Roman" w:cs="Helvetica"/>
          <w:color w:val="2D2D2D"/>
          <w:sz w:val="24"/>
          <w:szCs w:val="24"/>
        </w:rPr>
        <w:t xml:space="preserve"> J)</w:t>
      </w:r>
    </w:p>
    <w:p w:rsidR="002F6BC9" w:rsidRPr="00256D9B" w:rsidRDefault="002F6BC9" w:rsidP="002F6BC9">
      <w:pPr>
        <w:pStyle w:val="ListParagraph"/>
        <w:numPr>
          <w:ilvl w:val="0"/>
          <w:numId w:val="2"/>
        </w:numPr>
        <w:rPr>
          <w:rFonts w:cs="Times New Roman"/>
          <w:sz w:val="24"/>
          <w:szCs w:val="24"/>
        </w:rPr>
      </w:pPr>
      <w:r w:rsidRPr="00256D9B">
        <w:rPr>
          <w:rFonts w:cs="Times New Roman"/>
          <w:color w:val="333333"/>
          <w:sz w:val="24"/>
          <w:szCs w:val="24"/>
          <w:shd w:val="clear" w:color="auto" w:fill="FFFFFF"/>
        </w:rPr>
        <w:t xml:space="preserve">Less than 1 hour from the placement of drain to the administration of heparin </w:t>
      </w:r>
    </w:p>
    <w:p w:rsidR="002F6BC9" w:rsidRPr="00256D9B" w:rsidRDefault="002F6BC9" w:rsidP="002F6BC9">
      <w:pPr>
        <w:pStyle w:val="ListParagraph"/>
        <w:numPr>
          <w:ilvl w:val="0"/>
          <w:numId w:val="2"/>
        </w:numPr>
        <w:rPr>
          <w:rFonts w:cs="Times New Roman"/>
          <w:sz w:val="24"/>
          <w:szCs w:val="24"/>
        </w:rPr>
      </w:pPr>
      <w:r w:rsidRPr="00256D9B">
        <w:rPr>
          <w:rFonts w:cs="Times New Roman"/>
          <w:color w:val="333333"/>
          <w:sz w:val="24"/>
          <w:szCs w:val="24"/>
          <w:shd w:val="clear" w:color="auto" w:fill="FFFFFF"/>
        </w:rPr>
        <w:t>Difficult or traumatic needle placement</w:t>
      </w:r>
      <w:r w:rsidR="00C25C0B" w:rsidRPr="00256D9B">
        <w:rPr>
          <w:rFonts w:cs="Times New Roman"/>
          <w:color w:val="333333"/>
          <w:sz w:val="24"/>
          <w:szCs w:val="24"/>
          <w:shd w:val="clear" w:color="auto" w:fill="FFFFFF"/>
        </w:rPr>
        <w:t xml:space="preserve"> (consider delay of surgery for 24 hours)</w:t>
      </w:r>
    </w:p>
    <w:p w:rsidR="002F6BC9" w:rsidRPr="00256D9B" w:rsidRDefault="002F6BC9" w:rsidP="002F6BC9">
      <w:pPr>
        <w:pStyle w:val="ListParagraph"/>
        <w:numPr>
          <w:ilvl w:val="0"/>
          <w:numId w:val="2"/>
        </w:numPr>
        <w:rPr>
          <w:rFonts w:cs="Times New Roman"/>
          <w:sz w:val="24"/>
          <w:szCs w:val="24"/>
        </w:rPr>
      </w:pPr>
      <w:r w:rsidRPr="00256D9B">
        <w:rPr>
          <w:rFonts w:cs="Times New Roman"/>
          <w:color w:val="333333"/>
          <w:sz w:val="24"/>
          <w:szCs w:val="24"/>
          <w:shd w:val="clear" w:color="auto" w:fill="FFFFFF"/>
        </w:rPr>
        <w:t>Concomitant use of other anticoagulants</w:t>
      </w:r>
    </w:p>
    <w:p w:rsidR="00C25C0B" w:rsidRPr="00256D9B" w:rsidRDefault="00C25C0B" w:rsidP="002F6BC9">
      <w:pPr>
        <w:pStyle w:val="ListParagraph"/>
        <w:numPr>
          <w:ilvl w:val="0"/>
          <w:numId w:val="2"/>
        </w:numPr>
        <w:rPr>
          <w:rFonts w:cs="Times New Roman"/>
          <w:sz w:val="24"/>
          <w:szCs w:val="24"/>
        </w:rPr>
      </w:pPr>
      <w:r w:rsidRPr="00256D9B">
        <w:rPr>
          <w:rFonts w:cs="Times New Roman"/>
          <w:sz w:val="24"/>
          <w:szCs w:val="24"/>
        </w:rPr>
        <w:t>Patients with known coagulopathy</w:t>
      </w:r>
    </w:p>
    <w:p w:rsidR="00AD114B" w:rsidRPr="00256D9B" w:rsidRDefault="0096699A" w:rsidP="00AD114B">
      <w:pPr>
        <w:rPr>
          <w:rFonts w:cs="Times New Roman"/>
          <w:sz w:val="24"/>
          <w:szCs w:val="24"/>
          <w:u w:val="single"/>
        </w:rPr>
      </w:pPr>
      <w:r w:rsidRPr="00256D9B">
        <w:rPr>
          <w:rFonts w:cs="Times New Roman"/>
          <w:sz w:val="24"/>
          <w:szCs w:val="24"/>
          <w:u w:val="single"/>
        </w:rPr>
        <w:t>Management of a t</w:t>
      </w:r>
      <w:r w:rsidR="00941353" w:rsidRPr="00256D9B">
        <w:rPr>
          <w:rFonts w:cs="Times New Roman"/>
          <w:sz w:val="24"/>
          <w:szCs w:val="24"/>
          <w:u w:val="single"/>
        </w:rPr>
        <w:t>raumatic or bloody spinal drain placement</w:t>
      </w:r>
      <w:r w:rsidR="009567CF" w:rsidRPr="00256D9B">
        <w:rPr>
          <w:rFonts w:cs="Times New Roman"/>
          <w:sz w:val="24"/>
          <w:szCs w:val="24"/>
          <w:u w:val="single"/>
        </w:rPr>
        <w:t>:</w:t>
      </w:r>
      <w:r w:rsidR="00941353" w:rsidRPr="00256D9B">
        <w:rPr>
          <w:rFonts w:cs="Times New Roman"/>
          <w:sz w:val="24"/>
          <w:szCs w:val="24"/>
          <w:u w:val="single"/>
        </w:rPr>
        <w:t xml:space="preserve"> </w:t>
      </w:r>
    </w:p>
    <w:p w:rsidR="00941353" w:rsidRPr="00256D9B" w:rsidRDefault="001A1DFD" w:rsidP="00941353">
      <w:pPr>
        <w:pStyle w:val="ListParagraph"/>
        <w:numPr>
          <w:ilvl w:val="0"/>
          <w:numId w:val="9"/>
        </w:numPr>
        <w:rPr>
          <w:rFonts w:cs="Times New Roman"/>
          <w:sz w:val="24"/>
          <w:szCs w:val="24"/>
        </w:rPr>
      </w:pPr>
      <w:r w:rsidRPr="00256D9B">
        <w:rPr>
          <w:rFonts w:cs="Times New Roman"/>
          <w:sz w:val="24"/>
          <w:szCs w:val="24"/>
        </w:rPr>
        <w:t>If placing day of surgery, c</w:t>
      </w:r>
      <w:r w:rsidR="00941353" w:rsidRPr="00256D9B">
        <w:rPr>
          <w:rFonts w:cs="Times New Roman"/>
          <w:sz w:val="24"/>
          <w:szCs w:val="24"/>
        </w:rPr>
        <w:t xml:space="preserve">onsider cancelling or delaying surgery for 24 hours depending on urgency of surgery </w:t>
      </w:r>
    </w:p>
    <w:p w:rsidR="00C95832" w:rsidRPr="00256D9B" w:rsidRDefault="00C95832" w:rsidP="00941353">
      <w:pPr>
        <w:pStyle w:val="ListParagraph"/>
        <w:numPr>
          <w:ilvl w:val="0"/>
          <w:numId w:val="9"/>
        </w:numPr>
        <w:rPr>
          <w:rFonts w:cs="Times New Roman"/>
          <w:sz w:val="24"/>
          <w:szCs w:val="24"/>
        </w:rPr>
      </w:pPr>
      <w:r w:rsidRPr="00256D9B">
        <w:rPr>
          <w:rFonts w:cs="Times New Roman"/>
          <w:sz w:val="24"/>
          <w:szCs w:val="24"/>
        </w:rPr>
        <w:t>Reattempt at a different interspace</w:t>
      </w:r>
    </w:p>
    <w:p w:rsidR="00941353" w:rsidRPr="00256D9B" w:rsidRDefault="00941353" w:rsidP="00941353">
      <w:pPr>
        <w:pStyle w:val="ListParagraph"/>
        <w:numPr>
          <w:ilvl w:val="0"/>
          <w:numId w:val="9"/>
        </w:numPr>
        <w:rPr>
          <w:rFonts w:cs="Times New Roman"/>
          <w:sz w:val="24"/>
          <w:szCs w:val="24"/>
        </w:rPr>
      </w:pPr>
      <w:r w:rsidRPr="00256D9B">
        <w:rPr>
          <w:rFonts w:cs="Times New Roman"/>
          <w:sz w:val="24"/>
          <w:szCs w:val="24"/>
        </w:rPr>
        <w:t>Vigilance for perioperative neuraxial hematoma (50%  of neuraxial hematomas were associated with a traumatic insertion) (Fedorow CA, Horlocker TT)</w:t>
      </w:r>
    </w:p>
    <w:p w:rsidR="00C95832" w:rsidRPr="00256D9B" w:rsidRDefault="00C95832" w:rsidP="00C95832">
      <w:pPr>
        <w:rPr>
          <w:rFonts w:cs="Times New Roman"/>
          <w:sz w:val="24"/>
          <w:szCs w:val="24"/>
          <w:u w:val="single"/>
        </w:rPr>
      </w:pPr>
      <w:r w:rsidRPr="00256D9B">
        <w:rPr>
          <w:rFonts w:cs="Times New Roman"/>
          <w:sz w:val="24"/>
          <w:szCs w:val="24"/>
          <w:u w:val="single"/>
        </w:rPr>
        <w:t>Possible Complications</w:t>
      </w:r>
      <w:r w:rsidR="0096699A" w:rsidRPr="00256D9B">
        <w:rPr>
          <w:rFonts w:cs="Times New Roman"/>
          <w:sz w:val="24"/>
          <w:szCs w:val="24"/>
          <w:u w:val="single"/>
        </w:rPr>
        <w:t xml:space="preserve"> (</w:t>
      </w:r>
      <w:r w:rsidR="00AF64DA" w:rsidRPr="00256D9B">
        <w:rPr>
          <w:rFonts w:cs="Times New Roman"/>
          <w:sz w:val="24"/>
          <w:szCs w:val="24"/>
          <w:u w:val="single"/>
        </w:rPr>
        <w:t>High volume centers report 1.5% complication rate</w:t>
      </w:r>
      <w:r w:rsidR="0096699A" w:rsidRPr="00256D9B">
        <w:rPr>
          <w:rFonts w:cs="Times New Roman"/>
          <w:sz w:val="24"/>
          <w:szCs w:val="24"/>
          <w:u w:val="single"/>
        </w:rPr>
        <w:t>)</w:t>
      </w:r>
      <w:r w:rsidR="00AF64DA" w:rsidRPr="00256D9B">
        <w:rPr>
          <w:rFonts w:cs="Times New Roman"/>
          <w:sz w:val="24"/>
          <w:szCs w:val="24"/>
          <w:u w:val="single"/>
        </w:rPr>
        <w:t xml:space="preserve"> (Estrera AL)</w:t>
      </w:r>
      <w:r w:rsidRPr="00256D9B">
        <w:rPr>
          <w:rFonts w:cs="Times New Roman"/>
          <w:sz w:val="24"/>
          <w:szCs w:val="24"/>
          <w:u w:val="single"/>
        </w:rPr>
        <w:t>:</w:t>
      </w:r>
    </w:p>
    <w:p w:rsidR="00C95832" w:rsidRPr="00256D9B" w:rsidRDefault="00C95832" w:rsidP="00C95832">
      <w:pPr>
        <w:pStyle w:val="ListParagraph"/>
        <w:numPr>
          <w:ilvl w:val="0"/>
          <w:numId w:val="10"/>
        </w:numPr>
        <w:rPr>
          <w:rFonts w:cs="Times New Roman"/>
          <w:sz w:val="24"/>
          <w:szCs w:val="24"/>
        </w:rPr>
      </w:pPr>
      <w:r w:rsidRPr="00256D9B">
        <w:rPr>
          <w:rFonts w:cs="Times New Roman"/>
          <w:sz w:val="24"/>
          <w:szCs w:val="24"/>
        </w:rPr>
        <w:t>Subdural hematoma</w:t>
      </w:r>
    </w:p>
    <w:p w:rsidR="00C95832" w:rsidRPr="00256D9B" w:rsidRDefault="00AF64DA" w:rsidP="00C95832">
      <w:pPr>
        <w:pStyle w:val="ListParagraph"/>
        <w:numPr>
          <w:ilvl w:val="0"/>
          <w:numId w:val="10"/>
        </w:numPr>
        <w:rPr>
          <w:rFonts w:cs="Times New Roman"/>
          <w:sz w:val="24"/>
          <w:szCs w:val="24"/>
        </w:rPr>
      </w:pPr>
      <w:r w:rsidRPr="00256D9B">
        <w:rPr>
          <w:rFonts w:cs="Times New Roman"/>
          <w:sz w:val="24"/>
          <w:szCs w:val="24"/>
        </w:rPr>
        <w:t>Meningitis</w:t>
      </w:r>
    </w:p>
    <w:p w:rsidR="00AF64DA" w:rsidRPr="00256D9B" w:rsidRDefault="00AF64DA" w:rsidP="00C95832">
      <w:pPr>
        <w:pStyle w:val="ListParagraph"/>
        <w:numPr>
          <w:ilvl w:val="0"/>
          <w:numId w:val="10"/>
        </w:numPr>
        <w:rPr>
          <w:rFonts w:cs="Times New Roman"/>
          <w:sz w:val="24"/>
          <w:szCs w:val="24"/>
        </w:rPr>
      </w:pPr>
      <w:r w:rsidRPr="00256D9B">
        <w:rPr>
          <w:rFonts w:cs="Times New Roman"/>
          <w:sz w:val="24"/>
          <w:szCs w:val="24"/>
        </w:rPr>
        <w:t xml:space="preserve">Excessive CSF leak causing spinal headache </w:t>
      </w:r>
    </w:p>
    <w:p w:rsidR="00AF64DA" w:rsidRPr="00256D9B" w:rsidRDefault="00AF64DA" w:rsidP="00AF64DA">
      <w:pPr>
        <w:pStyle w:val="ListParagraph"/>
        <w:numPr>
          <w:ilvl w:val="0"/>
          <w:numId w:val="10"/>
        </w:numPr>
        <w:rPr>
          <w:rFonts w:cs="Times New Roman"/>
          <w:sz w:val="24"/>
          <w:szCs w:val="24"/>
        </w:rPr>
      </w:pPr>
      <w:r w:rsidRPr="00256D9B">
        <w:rPr>
          <w:rFonts w:cs="Times New Roman"/>
          <w:sz w:val="24"/>
          <w:szCs w:val="24"/>
        </w:rPr>
        <w:t xml:space="preserve">Severe CSF leak can cause intracranial bridging veins rupture and intracranial hemorrhage </w:t>
      </w:r>
    </w:p>
    <w:p w:rsidR="00AF64DA" w:rsidRPr="00256D9B" w:rsidRDefault="00AF64DA" w:rsidP="00C95832">
      <w:pPr>
        <w:pStyle w:val="ListParagraph"/>
        <w:numPr>
          <w:ilvl w:val="0"/>
          <w:numId w:val="10"/>
        </w:numPr>
        <w:rPr>
          <w:rFonts w:cs="Times New Roman"/>
          <w:sz w:val="24"/>
          <w:szCs w:val="24"/>
        </w:rPr>
      </w:pPr>
      <w:r w:rsidRPr="00256D9B">
        <w:rPr>
          <w:rFonts w:cs="Times New Roman"/>
          <w:sz w:val="24"/>
          <w:szCs w:val="24"/>
        </w:rPr>
        <w:t>Catheter fracture</w:t>
      </w:r>
    </w:p>
    <w:p w:rsidR="00340200" w:rsidRPr="00256D9B" w:rsidRDefault="00340200" w:rsidP="00C95832">
      <w:pPr>
        <w:pStyle w:val="ListParagraph"/>
        <w:numPr>
          <w:ilvl w:val="0"/>
          <w:numId w:val="10"/>
        </w:numPr>
        <w:rPr>
          <w:rFonts w:cs="Times New Roman"/>
          <w:sz w:val="24"/>
          <w:szCs w:val="24"/>
        </w:rPr>
      </w:pPr>
      <w:r w:rsidRPr="00256D9B">
        <w:rPr>
          <w:rFonts w:cs="Times New Roman"/>
          <w:sz w:val="24"/>
          <w:szCs w:val="24"/>
        </w:rPr>
        <w:t>Retained catheter</w:t>
      </w:r>
    </w:p>
    <w:p w:rsidR="00E96249" w:rsidRPr="00256D9B" w:rsidRDefault="00AF64DA" w:rsidP="00C95832">
      <w:pPr>
        <w:pStyle w:val="ListParagraph"/>
        <w:numPr>
          <w:ilvl w:val="0"/>
          <w:numId w:val="10"/>
        </w:numPr>
        <w:rPr>
          <w:rFonts w:cs="Times New Roman"/>
          <w:sz w:val="24"/>
          <w:szCs w:val="24"/>
        </w:rPr>
      </w:pPr>
      <w:r w:rsidRPr="00256D9B">
        <w:rPr>
          <w:rFonts w:cs="Times New Roman"/>
          <w:sz w:val="24"/>
          <w:szCs w:val="24"/>
        </w:rPr>
        <w:t>Nerve</w:t>
      </w:r>
      <w:r w:rsidR="00E96249" w:rsidRPr="00256D9B">
        <w:rPr>
          <w:rFonts w:cs="Times New Roman"/>
          <w:sz w:val="24"/>
          <w:szCs w:val="24"/>
        </w:rPr>
        <w:t xml:space="preserve"> root injury</w:t>
      </w:r>
    </w:p>
    <w:p w:rsidR="00AF64DA" w:rsidRPr="00256D9B" w:rsidRDefault="00A4287C" w:rsidP="00C95832">
      <w:pPr>
        <w:pStyle w:val="ListParagraph"/>
        <w:numPr>
          <w:ilvl w:val="0"/>
          <w:numId w:val="10"/>
        </w:numPr>
        <w:rPr>
          <w:rFonts w:cs="Times New Roman"/>
          <w:sz w:val="24"/>
          <w:szCs w:val="24"/>
        </w:rPr>
      </w:pPr>
      <w:r w:rsidRPr="00256D9B">
        <w:rPr>
          <w:rFonts w:cs="Times New Roman"/>
          <w:sz w:val="24"/>
          <w:szCs w:val="24"/>
        </w:rPr>
        <w:t>L</w:t>
      </w:r>
      <w:r w:rsidR="00AF64DA" w:rsidRPr="00256D9B">
        <w:rPr>
          <w:rFonts w:cs="Times New Roman"/>
          <w:sz w:val="24"/>
          <w:szCs w:val="24"/>
        </w:rPr>
        <w:t>igament damage</w:t>
      </w:r>
    </w:p>
    <w:p w:rsidR="00AD114B" w:rsidRPr="00256D9B" w:rsidRDefault="00AD114B">
      <w:pPr>
        <w:rPr>
          <w:rFonts w:cs="Times New Roman"/>
          <w:sz w:val="24"/>
          <w:szCs w:val="24"/>
          <w:u w:val="single"/>
        </w:rPr>
      </w:pPr>
      <w:r w:rsidRPr="00256D9B">
        <w:rPr>
          <w:rFonts w:cs="Times New Roman"/>
          <w:sz w:val="24"/>
          <w:szCs w:val="24"/>
          <w:u w:val="single"/>
        </w:rPr>
        <w:t>Intraoperative management:</w:t>
      </w:r>
    </w:p>
    <w:p w:rsidR="00AD114B" w:rsidRPr="00256D9B" w:rsidRDefault="0072555E">
      <w:pPr>
        <w:rPr>
          <w:rFonts w:cs="Times New Roman"/>
          <w:sz w:val="24"/>
          <w:szCs w:val="24"/>
        </w:rPr>
      </w:pPr>
      <w:r w:rsidRPr="00256D9B">
        <w:rPr>
          <w:rFonts w:cs="Times New Roman"/>
          <w:sz w:val="24"/>
          <w:szCs w:val="24"/>
        </w:rPr>
        <w:t xml:space="preserve">Connect the drain to pressure transducer that is </w:t>
      </w:r>
      <w:r w:rsidR="00EB0D85" w:rsidRPr="00256D9B">
        <w:rPr>
          <w:rFonts w:cs="Times New Roman"/>
          <w:sz w:val="24"/>
          <w:szCs w:val="24"/>
        </w:rPr>
        <w:t>zeroed</w:t>
      </w:r>
      <w:r w:rsidRPr="00256D9B">
        <w:rPr>
          <w:rFonts w:cs="Times New Roman"/>
          <w:sz w:val="24"/>
          <w:szCs w:val="24"/>
        </w:rPr>
        <w:t xml:space="preserve"> at the phlebostatic axis (approx. the</w:t>
      </w:r>
      <w:r w:rsidR="002B7994" w:rsidRPr="00256D9B">
        <w:rPr>
          <w:rFonts w:cs="Times New Roman"/>
          <w:sz w:val="24"/>
          <w:szCs w:val="24"/>
        </w:rPr>
        <w:t xml:space="preserve"> right atrium, the middle </w:t>
      </w:r>
      <w:r w:rsidRPr="00256D9B">
        <w:rPr>
          <w:rFonts w:cs="Times New Roman"/>
          <w:sz w:val="24"/>
          <w:szCs w:val="24"/>
        </w:rPr>
        <w:t>ear)</w:t>
      </w:r>
      <w:r w:rsidR="00A4287C" w:rsidRPr="00256D9B">
        <w:rPr>
          <w:rFonts w:cs="Times New Roman"/>
          <w:sz w:val="24"/>
          <w:szCs w:val="24"/>
        </w:rPr>
        <w:t xml:space="preserve"> (Figure </w:t>
      </w:r>
      <w:r w:rsidR="009567CF" w:rsidRPr="00256D9B">
        <w:rPr>
          <w:rFonts w:cs="Times New Roman"/>
          <w:sz w:val="24"/>
          <w:szCs w:val="24"/>
        </w:rPr>
        <w:t>2</w:t>
      </w:r>
      <w:r w:rsidR="00A4287C" w:rsidRPr="00256D9B">
        <w:rPr>
          <w:rFonts w:cs="Times New Roman"/>
          <w:sz w:val="24"/>
          <w:szCs w:val="24"/>
        </w:rPr>
        <w:t>)</w:t>
      </w:r>
      <w:r w:rsidR="00855924" w:rsidRPr="00256D9B">
        <w:rPr>
          <w:rFonts w:cs="Times New Roman"/>
          <w:sz w:val="24"/>
          <w:szCs w:val="24"/>
        </w:rPr>
        <w:t xml:space="preserve"> and reconfirm appropriate transducer position throughout the perioperative period.</w:t>
      </w:r>
    </w:p>
    <w:p w:rsidR="00855924" w:rsidRPr="00256D9B" w:rsidRDefault="00C95832" w:rsidP="00C95832">
      <w:pPr>
        <w:rPr>
          <w:rFonts w:cs="Times New Roman"/>
          <w:sz w:val="24"/>
          <w:szCs w:val="24"/>
        </w:rPr>
      </w:pPr>
      <w:r w:rsidRPr="00256D9B">
        <w:rPr>
          <w:rFonts w:cs="Times New Roman"/>
          <w:sz w:val="24"/>
          <w:szCs w:val="24"/>
        </w:rPr>
        <w:t>Attempt to keep the CSF pressure less than 10</w:t>
      </w:r>
      <w:r w:rsidR="00855924" w:rsidRPr="00256D9B">
        <w:rPr>
          <w:rFonts w:cs="Times New Roman"/>
          <w:sz w:val="24"/>
          <w:szCs w:val="24"/>
        </w:rPr>
        <w:t>-12</w:t>
      </w:r>
      <w:r w:rsidRPr="00256D9B">
        <w:rPr>
          <w:rFonts w:cs="Times New Roman"/>
          <w:sz w:val="24"/>
          <w:szCs w:val="24"/>
        </w:rPr>
        <w:t>mmHg (Estrera AL)</w:t>
      </w:r>
      <w:r w:rsidR="009567CF" w:rsidRPr="00256D9B">
        <w:rPr>
          <w:rFonts w:cs="Times New Roman"/>
          <w:sz w:val="24"/>
          <w:szCs w:val="24"/>
        </w:rPr>
        <w:t>, SCPP &gt; 70 mmHg, and MAP &gt; 90 mmHG (Hnath JC)</w:t>
      </w:r>
    </w:p>
    <w:p w:rsidR="00855924" w:rsidRPr="00256D9B" w:rsidRDefault="00536E7B" w:rsidP="00C95832">
      <w:pPr>
        <w:rPr>
          <w:rFonts w:cs="Times New Roman"/>
          <w:sz w:val="24"/>
          <w:szCs w:val="24"/>
        </w:rPr>
      </w:pPr>
      <w:r w:rsidRPr="00256D9B">
        <w:rPr>
          <w:rFonts w:cs="Times New Roman"/>
          <w:sz w:val="24"/>
          <w:szCs w:val="24"/>
        </w:rPr>
        <w:t xml:space="preserve">Level spinal drain system at </w:t>
      </w:r>
      <w:r w:rsidR="004F0563" w:rsidRPr="00256D9B">
        <w:rPr>
          <w:rFonts w:cs="Times New Roman"/>
          <w:sz w:val="24"/>
          <w:szCs w:val="24"/>
        </w:rPr>
        <w:t xml:space="preserve"> 13</w:t>
      </w:r>
      <w:r w:rsidRPr="00256D9B">
        <w:rPr>
          <w:rFonts w:cs="Times New Roman"/>
          <w:sz w:val="24"/>
          <w:szCs w:val="24"/>
        </w:rPr>
        <w:t xml:space="preserve"> cmH</w:t>
      </w:r>
      <w:r w:rsidRPr="00256D9B">
        <w:rPr>
          <w:rFonts w:cs="Times New Roman"/>
          <w:sz w:val="24"/>
          <w:szCs w:val="24"/>
          <w:vertAlign w:val="subscript"/>
        </w:rPr>
        <w:t>2</w:t>
      </w:r>
      <w:r w:rsidRPr="00256D9B">
        <w:rPr>
          <w:rFonts w:cs="Times New Roman"/>
          <w:sz w:val="24"/>
          <w:szCs w:val="24"/>
        </w:rPr>
        <w:t>0 aligned with phlebostatic axis which is a</w:t>
      </w:r>
      <w:r w:rsidR="004F0563" w:rsidRPr="00256D9B">
        <w:rPr>
          <w:rFonts w:cs="Times New Roman"/>
          <w:sz w:val="24"/>
          <w:szCs w:val="24"/>
        </w:rPr>
        <w:t>n approximate CSF pressure of 10</w:t>
      </w:r>
      <w:r w:rsidRPr="00256D9B">
        <w:rPr>
          <w:rFonts w:cs="Times New Roman"/>
          <w:sz w:val="24"/>
          <w:szCs w:val="24"/>
        </w:rPr>
        <w:t>mmHg to avoid accidental over dr</w:t>
      </w:r>
      <w:r w:rsidR="004F0563" w:rsidRPr="00256D9B">
        <w:rPr>
          <w:rFonts w:cs="Times New Roman"/>
          <w:sz w:val="24"/>
          <w:szCs w:val="24"/>
        </w:rPr>
        <w:t>ainage of CSF fluid past 10</w:t>
      </w:r>
      <w:r w:rsidRPr="00256D9B">
        <w:rPr>
          <w:rFonts w:cs="Times New Roman"/>
          <w:sz w:val="24"/>
          <w:szCs w:val="24"/>
        </w:rPr>
        <w:t xml:space="preserve">mmHg </w:t>
      </w:r>
      <w:r w:rsidR="00855924" w:rsidRPr="00256D9B">
        <w:rPr>
          <w:rFonts w:cs="Times New Roman"/>
          <w:sz w:val="24"/>
          <w:szCs w:val="24"/>
        </w:rPr>
        <w:t>(Cheung AT)</w:t>
      </w:r>
      <w:r w:rsidR="00C95832" w:rsidRPr="00256D9B">
        <w:rPr>
          <w:rFonts w:cs="Times New Roman"/>
          <w:sz w:val="24"/>
          <w:szCs w:val="24"/>
        </w:rPr>
        <w:t>.</w:t>
      </w:r>
      <w:r w:rsidR="00855924" w:rsidRPr="00256D9B">
        <w:rPr>
          <w:rFonts w:cs="Times New Roman"/>
          <w:sz w:val="24"/>
          <w:szCs w:val="24"/>
        </w:rPr>
        <w:t xml:space="preserve"> </w:t>
      </w:r>
    </w:p>
    <w:p w:rsidR="00C95832" w:rsidRPr="00256D9B" w:rsidRDefault="00BC7C9B" w:rsidP="00C95832">
      <w:pPr>
        <w:rPr>
          <w:rFonts w:cs="Times New Roman"/>
          <w:sz w:val="24"/>
          <w:szCs w:val="24"/>
        </w:rPr>
      </w:pPr>
      <w:r w:rsidRPr="00256D9B">
        <w:rPr>
          <w:rFonts w:cs="Times New Roman"/>
          <w:sz w:val="24"/>
          <w:szCs w:val="24"/>
        </w:rPr>
        <w:lastRenderedPageBreak/>
        <w:t>Hourly drain</w:t>
      </w:r>
      <w:r w:rsidR="00855924" w:rsidRPr="00256D9B">
        <w:rPr>
          <w:rFonts w:cs="Times New Roman"/>
          <w:sz w:val="24"/>
          <w:szCs w:val="24"/>
        </w:rPr>
        <w:t xml:space="preserve"> CSF with continued monitoring of CSF pressure to avoid accidental over drainage (Fedorow CA, Estrera AL)</w:t>
      </w:r>
    </w:p>
    <w:p w:rsidR="00C95832" w:rsidRPr="00256D9B" w:rsidRDefault="00EB0D85">
      <w:pPr>
        <w:rPr>
          <w:rFonts w:cs="Times New Roman"/>
          <w:sz w:val="24"/>
          <w:szCs w:val="24"/>
        </w:rPr>
      </w:pPr>
      <w:r w:rsidRPr="00256D9B">
        <w:rPr>
          <w:rFonts w:cs="Times New Roman"/>
          <w:sz w:val="24"/>
          <w:szCs w:val="24"/>
        </w:rPr>
        <w:t>Drain approximately 10-15mL at a time with</w:t>
      </w:r>
      <w:r w:rsidR="00C95832" w:rsidRPr="00256D9B">
        <w:rPr>
          <w:rFonts w:cs="Times New Roman"/>
          <w:sz w:val="24"/>
          <w:szCs w:val="24"/>
        </w:rPr>
        <w:t xml:space="preserve"> no more than 20mL in one hour</w:t>
      </w:r>
      <w:r w:rsidR="00B90618" w:rsidRPr="00256D9B">
        <w:rPr>
          <w:rFonts w:cs="Times New Roman"/>
          <w:sz w:val="24"/>
          <w:szCs w:val="24"/>
        </w:rPr>
        <w:t xml:space="preserve"> </w:t>
      </w:r>
      <w:r w:rsidR="00804A8E" w:rsidRPr="00256D9B">
        <w:rPr>
          <w:rFonts w:cs="Times New Roman"/>
          <w:sz w:val="24"/>
          <w:szCs w:val="24"/>
        </w:rPr>
        <w:t xml:space="preserve">for 4 hours </w:t>
      </w:r>
      <w:r w:rsidR="00B90618" w:rsidRPr="00256D9B">
        <w:rPr>
          <w:rFonts w:cs="Times New Roman"/>
          <w:sz w:val="24"/>
          <w:szCs w:val="24"/>
        </w:rPr>
        <w:t>(Fedorow CA, Leyvi G, Estrera AL)</w:t>
      </w:r>
      <w:r w:rsidR="00C95832" w:rsidRPr="00256D9B">
        <w:rPr>
          <w:rFonts w:cs="Times New Roman"/>
          <w:sz w:val="24"/>
          <w:szCs w:val="24"/>
        </w:rPr>
        <w:t xml:space="preserve">. </w:t>
      </w:r>
    </w:p>
    <w:p w:rsidR="008F3E29" w:rsidRDefault="008F3E29">
      <w:pPr>
        <w:rPr>
          <w:rFonts w:cs="Times New Roman"/>
          <w:sz w:val="24"/>
          <w:szCs w:val="24"/>
        </w:rPr>
      </w:pPr>
      <w:r w:rsidRPr="00256D9B">
        <w:rPr>
          <w:rFonts w:cs="Times New Roman"/>
          <w:sz w:val="24"/>
          <w:szCs w:val="24"/>
        </w:rPr>
        <w:t xml:space="preserve">Decreases in SSEP or MEP can signify a need to drain CSF, important to communicate with the neuromonitoring technologist.  </w:t>
      </w:r>
    </w:p>
    <w:p w:rsidR="0054637B" w:rsidRDefault="0054637B">
      <w:pPr>
        <w:rPr>
          <w:rFonts w:cs="Times New Roman"/>
          <w:sz w:val="24"/>
          <w:szCs w:val="24"/>
        </w:rPr>
      </w:pPr>
    </w:p>
    <w:p w:rsidR="0054637B" w:rsidRDefault="0054637B">
      <w:pPr>
        <w:rPr>
          <w:rFonts w:cs="Times New Roman"/>
          <w:sz w:val="24"/>
          <w:szCs w:val="24"/>
        </w:rPr>
      </w:pPr>
    </w:p>
    <w:p w:rsidR="0054637B" w:rsidRPr="00256D9B" w:rsidRDefault="0054637B">
      <w:pPr>
        <w:rPr>
          <w:rFonts w:cs="Times New Roman"/>
          <w:sz w:val="24"/>
          <w:szCs w:val="24"/>
        </w:rPr>
      </w:pPr>
    </w:p>
    <w:p w:rsidR="00941353" w:rsidRPr="00256D9B" w:rsidRDefault="00941353">
      <w:pPr>
        <w:rPr>
          <w:sz w:val="24"/>
          <w:szCs w:val="24"/>
          <w:u w:val="single"/>
        </w:rPr>
      </w:pPr>
      <w:r w:rsidRPr="00256D9B">
        <w:rPr>
          <w:sz w:val="24"/>
          <w:szCs w:val="24"/>
          <w:u w:val="single"/>
        </w:rPr>
        <w:t>References:</w:t>
      </w:r>
    </w:p>
    <w:p w:rsidR="00941353" w:rsidRPr="00256D9B" w:rsidRDefault="00941353">
      <w:pPr>
        <w:rPr>
          <w:sz w:val="24"/>
          <w:szCs w:val="24"/>
        </w:rPr>
      </w:pPr>
      <w:r w:rsidRPr="00256D9B">
        <w:rPr>
          <w:sz w:val="24"/>
          <w:szCs w:val="24"/>
        </w:rPr>
        <w:t>Fedorow CA, Moon MC, Mutch WA, Grocott HP (2010) Lumbar cerebrospinal fluid drainage for thoracoabdominal aortic surgery: rationale and practical considerations for management. Anesth Analg 111: 46-58.</w:t>
      </w:r>
    </w:p>
    <w:p w:rsidR="00941353" w:rsidRPr="00256D9B" w:rsidRDefault="00941353">
      <w:pPr>
        <w:rPr>
          <w:sz w:val="24"/>
          <w:szCs w:val="24"/>
        </w:rPr>
      </w:pPr>
      <w:r w:rsidRPr="00256D9B">
        <w:rPr>
          <w:sz w:val="24"/>
          <w:szCs w:val="24"/>
        </w:rPr>
        <w:t>Horlocker TT, Wedel DJ, Rowlingson JC, Enneking FK, Kopp SL, et al. (2010) Regional anesthesia in the patient receiving antithrombotic or thrombolytic therapy: American Society of Regional Anesthesia and Pain Medicine Evidence-Based Guidelines (Third Edition). Reg Anesth Pain Med 35: 64-101</w:t>
      </w:r>
      <w:r w:rsidR="0072555E" w:rsidRPr="00256D9B">
        <w:rPr>
          <w:sz w:val="24"/>
          <w:szCs w:val="24"/>
        </w:rPr>
        <w:t>.</w:t>
      </w:r>
    </w:p>
    <w:p w:rsidR="0072555E" w:rsidRPr="00256D9B" w:rsidRDefault="0072555E">
      <w:pPr>
        <w:rPr>
          <w:sz w:val="24"/>
          <w:szCs w:val="24"/>
        </w:rPr>
      </w:pPr>
      <w:r w:rsidRPr="00256D9B">
        <w:rPr>
          <w:sz w:val="24"/>
          <w:szCs w:val="24"/>
        </w:rPr>
        <w:t>Sakka L, Coll G, Chazal J. Anatomy and physiology of cerebrospinal fluid. Eur Ann Otorhinolaryngol Head Neck Dis. 2011;128(6):309-16.</w:t>
      </w:r>
    </w:p>
    <w:p w:rsidR="00EB0D85" w:rsidRPr="00256D9B" w:rsidRDefault="00EB0D85">
      <w:pPr>
        <w:rPr>
          <w:sz w:val="24"/>
          <w:szCs w:val="24"/>
        </w:rPr>
      </w:pPr>
      <w:r w:rsidRPr="00256D9B">
        <w:rPr>
          <w:sz w:val="24"/>
          <w:szCs w:val="24"/>
        </w:rPr>
        <w:t>Yandrapalli S, Raza A, Tariq S, Aronow WS. Ambulatory pulmonary artery pressure monitoring in advanced heart failure patients. World J Cardiol. 2017;9(1):21-26.</w:t>
      </w:r>
    </w:p>
    <w:p w:rsidR="00EB0D85" w:rsidRPr="00256D9B" w:rsidRDefault="00EB0D85">
      <w:pPr>
        <w:rPr>
          <w:sz w:val="24"/>
          <w:szCs w:val="24"/>
        </w:rPr>
      </w:pPr>
      <w:r w:rsidRPr="00256D9B">
        <w:rPr>
          <w:sz w:val="24"/>
          <w:szCs w:val="24"/>
        </w:rPr>
        <w:t>Estrera AL, Sheinbaum R, Miller CC, et al., Cerebrospinal Fluid Drainage During Thoracic Aortic Repair: Safety and Current Management. The Annals of Thoracic Surgery, 2009; 88: 9-15</w:t>
      </w:r>
      <w:r w:rsidR="00C708FC" w:rsidRPr="00256D9B">
        <w:rPr>
          <w:sz w:val="24"/>
          <w:szCs w:val="24"/>
        </w:rPr>
        <w:t>.</w:t>
      </w:r>
    </w:p>
    <w:p w:rsidR="00C708FC" w:rsidRPr="00256D9B" w:rsidRDefault="00C708FC">
      <w:pPr>
        <w:rPr>
          <w:sz w:val="24"/>
          <w:szCs w:val="24"/>
        </w:rPr>
      </w:pPr>
      <w:r w:rsidRPr="00256D9B">
        <w:rPr>
          <w:sz w:val="24"/>
          <w:szCs w:val="24"/>
        </w:rPr>
        <w:t>Boon JM, Abrahams PH, Meiring JH, Welch T. Lumbar puncture: anatomical review of a clinic</w:t>
      </w:r>
      <w:r w:rsidR="00804D48" w:rsidRPr="00256D9B">
        <w:rPr>
          <w:sz w:val="24"/>
          <w:szCs w:val="24"/>
        </w:rPr>
        <w:t>al skill. Clin Anat 2004</w:t>
      </w:r>
      <w:proofErr w:type="gramStart"/>
      <w:r w:rsidR="00804D48" w:rsidRPr="00256D9B">
        <w:rPr>
          <w:sz w:val="24"/>
          <w:szCs w:val="24"/>
        </w:rPr>
        <w:t>;17:544</w:t>
      </w:r>
      <w:proofErr w:type="gramEnd"/>
      <w:r w:rsidRPr="00256D9B">
        <w:rPr>
          <w:sz w:val="24"/>
          <w:szCs w:val="24"/>
        </w:rPr>
        <w:t>–53</w:t>
      </w:r>
    </w:p>
    <w:p w:rsidR="00E96249" w:rsidRPr="00256D9B" w:rsidRDefault="00E96249">
      <w:pPr>
        <w:rPr>
          <w:sz w:val="24"/>
          <w:szCs w:val="24"/>
        </w:rPr>
      </w:pPr>
      <w:r w:rsidRPr="00256D9B">
        <w:rPr>
          <w:sz w:val="24"/>
          <w:szCs w:val="24"/>
        </w:rPr>
        <w:t>Cheung AT, Pochettino A, Guvakov DV, Weiss SJ, Shanmugan S, Bavaria JE. Safety of lumbar drains in thoracic aortic operations performed with extracorporeal circulatio</w:t>
      </w:r>
      <w:r w:rsidR="00804D48" w:rsidRPr="00256D9B">
        <w:rPr>
          <w:sz w:val="24"/>
          <w:szCs w:val="24"/>
        </w:rPr>
        <w:t>n. Ann Thorac Surg 2003</w:t>
      </w:r>
      <w:proofErr w:type="gramStart"/>
      <w:r w:rsidR="00804D48" w:rsidRPr="00256D9B">
        <w:rPr>
          <w:sz w:val="24"/>
          <w:szCs w:val="24"/>
        </w:rPr>
        <w:t>;76:1190</w:t>
      </w:r>
      <w:proofErr w:type="gramEnd"/>
      <w:r w:rsidRPr="00256D9B">
        <w:rPr>
          <w:sz w:val="24"/>
          <w:szCs w:val="24"/>
        </w:rPr>
        <w:t>–7</w:t>
      </w:r>
    </w:p>
    <w:p w:rsidR="00B90618" w:rsidRPr="00256D9B" w:rsidRDefault="00B90618">
      <w:pPr>
        <w:rPr>
          <w:sz w:val="24"/>
          <w:szCs w:val="24"/>
        </w:rPr>
      </w:pPr>
      <w:r w:rsidRPr="00256D9B">
        <w:rPr>
          <w:sz w:val="24"/>
          <w:szCs w:val="24"/>
        </w:rPr>
        <w:t>Leyvi G, Ramachandran S, Wasnick JD, Plestis K, Cheung AT, Drenger B. Risk and benefits of cerebrospinal fluid drainage during thoracoabdominal aortic aneurysm surgery. J Cardiothorac Vasc Anesth 2005</w:t>
      </w:r>
      <w:proofErr w:type="gramStart"/>
      <w:r w:rsidRPr="00256D9B">
        <w:rPr>
          <w:sz w:val="24"/>
          <w:szCs w:val="24"/>
        </w:rPr>
        <w:t>;19:392</w:t>
      </w:r>
      <w:proofErr w:type="gramEnd"/>
      <w:r w:rsidRPr="00256D9B">
        <w:rPr>
          <w:sz w:val="24"/>
          <w:szCs w:val="24"/>
        </w:rPr>
        <w:t>–9</w:t>
      </w:r>
    </w:p>
    <w:p w:rsidR="00B84D5F" w:rsidRPr="00256D9B" w:rsidRDefault="00B84D5F">
      <w:pPr>
        <w:rPr>
          <w:sz w:val="24"/>
          <w:szCs w:val="24"/>
        </w:rPr>
      </w:pPr>
      <w:r w:rsidRPr="00256D9B">
        <w:rPr>
          <w:sz w:val="24"/>
          <w:szCs w:val="24"/>
        </w:rPr>
        <w:lastRenderedPageBreak/>
        <w:t>Hnath JC, Mehta M, Taggert JB, Sternbach Y, Roddy SP, Kreienberg PB, Ozsvath KJ, Chang BB, Shah DM, Darling RC III. Strategies to improve spinal cord ischemia in endovascular thoracic aortic repair: outcomes of a prospective cerebrospinal fluid drainage pr</w:t>
      </w:r>
      <w:r w:rsidR="00804D48" w:rsidRPr="00256D9B">
        <w:rPr>
          <w:sz w:val="24"/>
          <w:szCs w:val="24"/>
        </w:rPr>
        <w:t>otocol. J Vasc Surg 2008</w:t>
      </w:r>
      <w:proofErr w:type="gramStart"/>
      <w:r w:rsidR="00804D48" w:rsidRPr="00256D9B">
        <w:rPr>
          <w:sz w:val="24"/>
          <w:szCs w:val="24"/>
        </w:rPr>
        <w:t>;48:836</w:t>
      </w:r>
      <w:proofErr w:type="gramEnd"/>
      <w:r w:rsidRPr="00256D9B">
        <w:rPr>
          <w:sz w:val="24"/>
          <w:szCs w:val="24"/>
        </w:rPr>
        <w:t>– 40</w:t>
      </w:r>
    </w:p>
    <w:p w:rsidR="005675C6" w:rsidRPr="00256D9B" w:rsidRDefault="005675C6">
      <w:pPr>
        <w:rPr>
          <w:sz w:val="24"/>
          <w:szCs w:val="24"/>
        </w:rPr>
      </w:pPr>
      <w:r w:rsidRPr="00256D9B">
        <w:rPr>
          <w:sz w:val="24"/>
          <w:szCs w:val="24"/>
        </w:rPr>
        <w:t>Coselli JS et al. Open surgical repair of 2286 thoracoabdominal aortic aneurysms. Ann Thorac Surg 2007</w:t>
      </w:r>
      <w:proofErr w:type="gramStart"/>
      <w:r w:rsidRPr="00256D9B">
        <w:rPr>
          <w:sz w:val="24"/>
          <w:szCs w:val="24"/>
        </w:rPr>
        <w:t>;83:s862</w:t>
      </w:r>
      <w:proofErr w:type="gramEnd"/>
      <w:r w:rsidRPr="00256D9B">
        <w:rPr>
          <w:sz w:val="24"/>
          <w:szCs w:val="24"/>
        </w:rPr>
        <w:t>-s4.</w:t>
      </w:r>
    </w:p>
    <w:p w:rsidR="005675C6" w:rsidRPr="00256D9B" w:rsidRDefault="005675C6">
      <w:pPr>
        <w:rPr>
          <w:sz w:val="24"/>
          <w:szCs w:val="24"/>
        </w:rPr>
      </w:pPr>
      <w:r w:rsidRPr="00256D9B">
        <w:rPr>
          <w:sz w:val="24"/>
          <w:szCs w:val="24"/>
        </w:rPr>
        <w:t>Jacobs MJ et al. Assessment of spinal cord integrity during thoracoabdominal aortic aneurysm repair. Ann Thorac Surg 2002</w:t>
      </w:r>
      <w:proofErr w:type="gramStart"/>
      <w:r w:rsidRPr="00256D9B">
        <w:rPr>
          <w:sz w:val="24"/>
          <w:szCs w:val="24"/>
        </w:rPr>
        <w:t>;74:s1864</w:t>
      </w:r>
      <w:proofErr w:type="gramEnd"/>
      <w:r w:rsidRPr="00256D9B">
        <w:rPr>
          <w:sz w:val="24"/>
          <w:szCs w:val="24"/>
        </w:rPr>
        <w:t>-s6.</w:t>
      </w:r>
    </w:p>
    <w:tbl>
      <w:tblPr>
        <w:tblW w:w="0" w:type="auto"/>
        <w:tblCellSpacing w:w="15" w:type="dxa"/>
        <w:shd w:val="clear" w:color="auto" w:fill="FFFFFF"/>
        <w:tblCellMar>
          <w:left w:w="0" w:type="dxa"/>
          <w:right w:w="0" w:type="dxa"/>
        </w:tblCellMar>
        <w:tblLook w:val="04A0"/>
      </w:tblPr>
      <w:tblGrid>
        <w:gridCol w:w="10860"/>
      </w:tblGrid>
      <w:tr w:rsidR="002C0ED0" w:rsidRPr="00256D9B" w:rsidTr="002C0ED0">
        <w:trPr>
          <w:tblCellSpacing w:w="15" w:type="dxa"/>
        </w:trPr>
        <w:tc>
          <w:tcPr>
            <w:tcW w:w="0" w:type="auto"/>
            <w:shd w:val="clear" w:color="auto" w:fill="FFFFFF"/>
            <w:hideMark/>
          </w:tcPr>
          <w:p w:rsidR="009567CF" w:rsidRPr="00256D9B" w:rsidRDefault="00EF4838" w:rsidP="002C0ED0">
            <w:pPr>
              <w:spacing w:after="0" w:line="360" w:lineRule="atLeast"/>
              <w:rPr>
                <w:sz w:val="24"/>
                <w:szCs w:val="24"/>
              </w:rPr>
            </w:pPr>
            <w:r w:rsidRPr="00256D9B">
              <w:rPr>
                <w:sz w:val="24"/>
                <w:szCs w:val="24"/>
              </w:rPr>
              <w:t>Cheung AT et al. Interventions for reversing delayed-onset postoperative paraplegia after thoracic aortic reconstruction. Ann Thorac Surg 2002</w:t>
            </w:r>
            <w:proofErr w:type="gramStart"/>
            <w:r w:rsidRPr="00256D9B">
              <w:rPr>
                <w:sz w:val="24"/>
                <w:szCs w:val="24"/>
              </w:rPr>
              <w:t>;74:413</w:t>
            </w:r>
            <w:proofErr w:type="gramEnd"/>
            <w:r w:rsidRPr="00256D9B">
              <w:rPr>
                <w:sz w:val="24"/>
                <w:szCs w:val="24"/>
              </w:rPr>
              <w:t>-21.</w:t>
            </w:r>
          </w:p>
          <w:p w:rsidR="001A1DFD" w:rsidRPr="00256D9B" w:rsidRDefault="001A1DFD" w:rsidP="002C0ED0">
            <w:pPr>
              <w:spacing w:after="0" w:line="360" w:lineRule="atLeast"/>
              <w:rPr>
                <w:sz w:val="24"/>
                <w:szCs w:val="24"/>
              </w:rPr>
            </w:pPr>
          </w:p>
          <w:p w:rsidR="002C0ED0" w:rsidRPr="00256D9B" w:rsidRDefault="009567CF" w:rsidP="002C0ED0">
            <w:pPr>
              <w:spacing w:after="0" w:line="360" w:lineRule="atLeast"/>
              <w:rPr>
                <w:rFonts w:eastAsia="Times New Roman" w:cs="Helvetica"/>
                <w:color w:val="2D2D2D"/>
                <w:sz w:val="24"/>
                <w:szCs w:val="24"/>
              </w:rPr>
            </w:pPr>
            <w:r w:rsidRPr="00256D9B">
              <w:rPr>
                <w:rFonts w:eastAsia="Times New Roman" w:cs="Helvetica"/>
                <w:color w:val="2D2D2D"/>
                <w:sz w:val="24"/>
                <w:szCs w:val="24"/>
              </w:rPr>
              <w:t>Buth</w:t>
            </w:r>
            <w:r w:rsidR="002C0ED0" w:rsidRPr="00256D9B">
              <w:rPr>
                <w:rFonts w:eastAsia="Times New Roman" w:cs="Helvetica"/>
                <w:color w:val="2D2D2D"/>
                <w:sz w:val="24"/>
                <w:szCs w:val="24"/>
              </w:rPr>
              <w:t xml:space="preserve"> J, Harris PL, Hobo R, van Eps R, Cuypers P, Duijm L, Tielbeek X. Neurologic complications associated with endovascular repair of thoracic aortic pathology: incidence and risk factors. A study from the European Collaborators on Stent/Graft Techniques for Aortic Aneurysm Repair (EUROSTAR) registry. J Vasc Surg 2007;46:1103–11  </w:t>
            </w:r>
          </w:p>
          <w:p w:rsidR="001A1DFD" w:rsidRPr="00256D9B" w:rsidRDefault="001A1DFD" w:rsidP="002C0ED0">
            <w:pPr>
              <w:spacing w:after="0" w:line="360" w:lineRule="atLeast"/>
              <w:rPr>
                <w:rFonts w:eastAsia="Times New Roman" w:cs="Helvetica"/>
                <w:color w:val="2D2D2D"/>
                <w:sz w:val="24"/>
                <w:szCs w:val="24"/>
              </w:rPr>
            </w:pPr>
          </w:p>
        </w:tc>
      </w:tr>
    </w:tbl>
    <w:p w:rsidR="002C0ED0" w:rsidRPr="00256D9B" w:rsidRDefault="002C0ED0" w:rsidP="002C0ED0">
      <w:pPr>
        <w:spacing w:after="0" w:line="240" w:lineRule="auto"/>
        <w:rPr>
          <w:rFonts w:eastAsia="Times New Roman" w:cs="Times New Roman"/>
          <w:vanish/>
          <w:sz w:val="24"/>
          <w:szCs w:val="24"/>
        </w:rPr>
      </w:pPr>
    </w:p>
    <w:tbl>
      <w:tblPr>
        <w:tblW w:w="0" w:type="auto"/>
        <w:tblCellSpacing w:w="15" w:type="dxa"/>
        <w:shd w:val="clear" w:color="auto" w:fill="FFFFFF"/>
        <w:tblCellMar>
          <w:left w:w="0" w:type="dxa"/>
          <w:right w:w="0" w:type="dxa"/>
        </w:tblCellMar>
        <w:tblLook w:val="04A0"/>
      </w:tblPr>
      <w:tblGrid>
        <w:gridCol w:w="10860"/>
      </w:tblGrid>
      <w:tr w:rsidR="002C0ED0" w:rsidRPr="00256D9B" w:rsidTr="002C0ED0">
        <w:trPr>
          <w:tblCellSpacing w:w="15" w:type="dxa"/>
        </w:trPr>
        <w:tc>
          <w:tcPr>
            <w:tcW w:w="0" w:type="auto"/>
            <w:shd w:val="clear" w:color="auto" w:fill="FFFFFF"/>
            <w:hideMark/>
          </w:tcPr>
          <w:p w:rsidR="002C0ED0" w:rsidRPr="00256D9B" w:rsidRDefault="002C0ED0" w:rsidP="002C0ED0">
            <w:pPr>
              <w:spacing w:after="0" w:line="360" w:lineRule="atLeast"/>
              <w:rPr>
                <w:rFonts w:eastAsia="Times New Roman" w:cs="Helvetica"/>
                <w:color w:val="2D2D2D"/>
                <w:sz w:val="24"/>
                <w:szCs w:val="24"/>
              </w:rPr>
            </w:pPr>
            <w:bookmarkStart w:id="1" w:name="RF42"/>
            <w:bookmarkStart w:id="2" w:name="106"/>
            <w:bookmarkEnd w:id="1"/>
            <w:bookmarkEnd w:id="2"/>
            <w:r w:rsidRPr="00256D9B">
              <w:rPr>
                <w:rFonts w:eastAsia="Times New Roman" w:cs="Helvetica"/>
                <w:color w:val="2D2D2D"/>
                <w:sz w:val="24"/>
                <w:szCs w:val="24"/>
              </w:rPr>
              <w:t xml:space="preserve">Khoynezhad A, Donayre CE, Bui H, Kopchok GE, Walot I, White RA. Risk factors of neurologic deficit after thoracic aortic endografting. Ann Thorac Surg 2007;83:S882–9  </w:t>
            </w:r>
          </w:p>
          <w:p w:rsidR="001A1DFD" w:rsidRPr="00256D9B" w:rsidRDefault="001A1DFD" w:rsidP="002C0ED0">
            <w:pPr>
              <w:spacing w:after="0" w:line="360" w:lineRule="atLeast"/>
              <w:rPr>
                <w:rFonts w:eastAsia="Times New Roman" w:cs="Helvetica"/>
                <w:color w:val="2D2D2D"/>
                <w:sz w:val="24"/>
                <w:szCs w:val="24"/>
              </w:rPr>
            </w:pPr>
          </w:p>
        </w:tc>
      </w:tr>
    </w:tbl>
    <w:p w:rsidR="002C0ED0" w:rsidRPr="00256D9B" w:rsidRDefault="002C0ED0" w:rsidP="002C0ED0">
      <w:pPr>
        <w:spacing w:after="0" w:line="240" w:lineRule="auto"/>
        <w:rPr>
          <w:rFonts w:eastAsia="Times New Roman" w:cs="Times New Roman"/>
          <w:vanish/>
          <w:sz w:val="24"/>
          <w:szCs w:val="24"/>
        </w:rPr>
      </w:pPr>
    </w:p>
    <w:tbl>
      <w:tblPr>
        <w:tblW w:w="0" w:type="auto"/>
        <w:tblCellSpacing w:w="15" w:type="dxa"/>
        <w:shd w:val="clear" w:color="auto" w:fill="FFFFFF"/>
        <w:tblCellMar>
          <w:left w:w="0" w:type="dxa"/>
          <w:right w:w="0" w:type="dxa"/>
        </w:tblCellMar>
        <w:tblLook w:val="04A0"/>
      </w:tblPr>
      <w:tblGrid>
        <w:gridCol w:w="66"/>
      </w:tblGrid>
      <w:tr w:rsidR="002C0ED0" w:rsidRPr="00256D9B" w:rsidTr="002C0ED0">
        <w:trPr>
          <w:tblCellSpacing w:w="15" w:type="dxa"/>
        </w:trPr>
        <w:tc>
          <w:tcPr>
            <w:tcW w:w="0" w:type="auto"/>
            <w:shd w:val="clear" w:color="auto" w:fill="FFFFFF"/>
            <w:hideMark/>
          </w:tcPr>
          <w:p w:rsidR="002C0ED0" w:rsidRPr="00256D9B" w:rsidRDefault="002C0ED0" w:rsidP="002C0ED0">
            <w:pPr>
              <w:spacing w:after="0" w:line="360" w:lineRule="atLeast"/>
              <w:rPr>
                <w:rFonts w:eastAsia="Times New Roman" w:cs="Helvetica"/>
                <w:color w:val="2D2D2D"/>
                <w:sz w:val="24"/>
                <w:szCs w:val="24"/>
              </w:rPr>
            </w:pPr>
            <w:bookmarkStart w:id="3" w:name="RF43"/>
            <w:bookmarkStart w:id="4" w:name="107"/>
            <w:bookmarkEnd w:id="3"/>
            <w:bookmarkEnd w:id="4"/>
          </w:p>
        </w:tc>
      </w:tr>
    </w:tbl>
    <w:p w:rsidR="002C0ED0" w:rsidRPr="00256D9B" w:rsidRDefault="002C0ED0" w:rsidP="002C0ED0">
      <w:pPr>
        <w:spacing w:after="0" w:line="240" w:lineRule="auto"/>
        <w:rPr>
          <w:rFonts w:eastAsia="Times New Roman" w:cs="Times New Roman"/>
          <w:vanish/>
          <w:sz w:val="24"/>
          <w:szCs w:val="24"/>
        </w:rPr>
      </w:pPr>
    </w:p>
    <w:tbl>
      <w:tblPr>
        <w:tblW w:w="0" w:type="auto"/>
        <w:tblCellSpacing w:w="15" w:type="dxa"/>
        <w:shd w:val="clear" w:color="auto" w:fill="FFFFFF"/>
        <w:tblCellMar>
          <w:left w:w="0" w:type="dxa"/>
          <w:right w:w="0" w:type="dxa"/>
        </w:tblCellMar>
        <w:tblLook w:val="04A0"/>
      </w:tblPr>
      <w:tblGrid>
        <w:gridCol w:w="10860"/>
      </w:tblGrid>
      <w:tr w:rsidR="002C0ED0" w:rsidRPr="00256D9B" w:rsidTr="002C0ED0">
        <w:trPr>
          <w:tblCellSpacing w:w="15" w:type="dxa"/>
        </w:trPr>
        <w:tc>
          <w:tcPr>
            <w:tcW w:w="0" w:type="auto"/>
            <w:shd w:val="clear" w:color="auto" w:fill="FFFFFF"/>
            <w:hideMark/>
          </w:tcPr>
          <w:p w:rsidR="002C0ED0" w:rsidRPr="00256D9B" w:rsidRDefault="002C0ED0" w:rsidP="002C0ED0">
            <w:pPr>
              <w:spacing w:after="0" w:line="360" w:lineRule="atLeast"/>
              <w:rPr>
                <w:rFonts w:eastAsia="Times New Roman" w:cs="Helvetica"/>
                <w:color w:val="2D2D2D"/>
                <w:sz w:val="24"/>
                <w:szCs w:val="24"/>
              </w:rPr>
            </w:pPr>
            <w:bookmarkStart w:id="5" w:name="RF44"/>
            <w:bookmarkStart w:id="6" w:name="108"/>
            <w:bookmarkEnd w:id="5"/>
            <w:bookmarkEnd w:id="6"/>
            <w:proofErr w:type="spellStart"/>
            <w:r w:rsidRPr="00256D9B">
              <w:rPr>
                <w:rFonts w:eastAsia="Times New Roman" w:cs="Helvetica"/>
                <w:color w:val="2D2D2D"/>
                <w:sz w:val="24"/>
                <w:szCs w:val="24"/>
              </w:rPr>
              <w:t>Xenos</w:t>
            </w:r>
            <w:proofErr w:type="spellEnd"/>
            <w:r w:rsidRPr="00256D9B">
              <w:rPr>
                <w:rFonts w:eastAsia="Times New Roman" w:cs="Helvetica"/>
                <w:color w:val="2D2D2D"/>
                <w:sz w:val="24"/>
                <w:szCs w:val="24"/>
              </w:rPr>
              <w:t xml:space="preserve"> E, </w:t>
            </w:r>
            <w:proofErr w:type="spellStart"/>
            <w:r w:rsidRPr="00256D9B">
              <w:rPr>
                <w:rFonts w:eastAsia="Times New Roman" w:cs="Helvetica"/>
                <w:color w:val="2D2D2D"/>
                <w:sz w:val="24"/>
                <w:szCs w:val="24"/>
              </w:rPr>
              <w:t>Abedi</w:t>
            </w:r>
            <w:proofErr w:type="spellEnd"/>
            <w:r w:rsidRPr="00256D9B">
              <w:rPr>
                <w:rFonts w:eastAsia="Times New Roman" w:cs="Helvetica"/>
                <w:color w:val="2D2D2D"/>
                <w:sz w:val="24"/>
                <w:szCs w:val="24"/>
              </w:rPr>
              <w:t xml:space="preserve"> N, Davenport D, Minion D, Hamdallah O, Sorial E, Endean E. Meta-analysis of endovascular repair vs open repair for traumatic descending thoracic aortic rupture. J Vasc Surg 2008;48:1343–51  </w:t>
            </w:r>
          </w:p>
          <w:p w:rsidR="001A1DFD" w:rsidRPr="00256D9B" w:rsidRDefault="001A1DFD" w:rsidP="002C0ED0">
            <w:pPr>
              <w:spacing w:after="0" w:line="360" w:lineRule="atLeast"/>
              <w:rPr>
                <w:rFonts w:eastAsia="Times New Roman" w:cs="Helvetica"/>
                <w:color w:val="2D2D2D"/>
                <w:sz w:val="24"/>
                <w:szCs w:val="24"/>
              </w:rPr>
            </w:pPr>
          </w:p>
        </w:tc>
      </w:tr>
    </w:tbl>
    <w:p w:rsidR="002C0ED0" w:rsidRPr="00256D9B" w:rsidRDefault="002C0ED0" w:rsidP="002C0ED0">
      <w:pPr>
        <w:spacing w:after="0" w:line="240" w:lineRule="auto"/>
        <w:rPr>
          <w:rFonts w:eastAsia="Times New Roman" w:cs="Times New Roman"/>
          <w:vanish/>
          <w:sz w:val="24"/>
          <w:szCs w:val="24"/>
        </w:rPr>
      </w:pPr>
    </w:p>
    <w:tbl>
      <w:tblPr>
        <w:tblW w:w="0" w:type="auto"/>
        <w:tblCellSpacing w:w="15" w:type="dxa"/>
        <w:shd w:val="clear" w:color="auto" w:fill="FFFFFF"/>
        <w:tblCellMar>
          <w:left w:w="0" w:type="dxa"/>
          <w:right w:w="0" w:type="dxa"/>
        </w:tblCellMar>
        <w:tblLook w:val="04A0"/>
      </w:tblPr>
      <w:tblGrid>
        <w:gridCol w:w="10860"/>
      </w:tblGrid>
      <w:tr w:rsidR="002C0ED0" w:rsidRPr="00256D9B" w:rsidTr="002C0ED0">
        <w:trPr>
          <w:tblCellSpacing w:w="15" w:type="dxa"/>
        </w:trPr>
        <w:tc>
          <w:tcPr>
            <w:tcW w:w="0" w:type="auto"/>
            <w:shd w:val="clear" w:color="auto" w:fill="FFFFFF"/>
            <w:hideMark/>
          </w:tcPr>
          <w:p w:rsidR="002C0ED0" w:rsidRDefault="002C0ED0" w:rsidP="002C0ED0">
            <w:pPr>
              <w:spacing w:after="0" w:line="360" w:lineRule="atLeast"/>
              <w:rPr>
                <w:rFonts w:eastAsia="Times New Roman" w:cs="Helvetica"/>
                <w:color w:val="2D2D2D"/>
                <w:sz w:val="24"/>
                <w:szCs w:val="24"/>
              </w:rPr>
            </w:pPr>
            <w:bookmarkStart w:id="7" w:name="RF45"/>
            <w:bookmarkStart w:id="8" w:name="109"/>
            <w:bookmarkEnd w:id="7"/>
            <w:bookmarkEnd w:id="8"/>
            <w:r w:rsidRPr="00256D9B">
              <w:rPr>
                <w:rFonts w:eastAsia="Times New Roman" w:cs="Helvetica"/>
                <w:color w:val="2D2D2D"/>
                <w:sz w:val="24"/>
                <w:szCs w:val="24"/>
              </w:rPr>
              <w:t xml:space="preserve">Gutsche JT, Szeto W, Cheung AT. Endovascular stenting of thoracic aortic aneurysm. Anesthesiol Clin 2008;26:481–99  </w:t>
            </w:r>
          </w:p>
          <w:p w:rsidR="00256D9B" w:rsidRPr="00256D9B" w:rsidRDefault="00256D9B" w:rsidP="002C0ED0">
            <w:pPr>
              <w:spacing w:after="0" w:line="360" w:lineRule="atLeast"/>
              <w:rPr>
                <w:rFonts w:eastAsia="Times New Roman" w:cs="Helvetica"/>
                <w:color w:val="2D2D2D"/>
                <w:sz w:val="24"/>
                <w:szCs w:val="24"/>
              </w:rPr>
            </w:pPr>
          </w:p>
          <w:p w:rsidR="002C0ED0" w:rsidRDefault="001E7145" w:rsidP="002C0ED0">
            <w:pPr>
              <w:spacing w:after="0" w:line="360" w:lineRule="atLeast"/>
              <w:rPr>
                <w:rFonts w:cs="Helvetica"/>
                <w:color w:val="2D2D2D"/>
                <w:sz w:val="24"/>
                <w:szCs w:val="24"/>
                <w:shd w:val="clear" w:color="auto" w:fill="FFFFFF"/>
              </w:rPr>
            </w:pPr>
            <w:proofErr w:type="spellStart"/>
            <w:r w:rsidRPr="00256D9B">
              <w:rPr>
                <w:rFonts w:cs="Helvetica"/>
                <w:color w:val="2D2D2D"/>
                <w:sz w:val="24"/>
                <w:szCs w:val="24"/>
                <w:shd w:val="clear" w:color="auto" w:fill="FFFFFF"/>
              </w:rPr>
              <w:t>Plecha</w:t>
            </w:r>
            <w:proofErr w:type="spellEnd"/>
            <w:r w:rsidRPr="00256D9B">
              <w:rPr>
                <w:rFonts w:cs="Helvetica"/>
                <w:color w:val="2D2D2D"/>
                <w:sz w:val="24"/>
                <w:szCs w:val="24"/>
                <w:shd w:val="clear" w:color="auto" w:fill="FFFFFF"/>
              </w:rPr>
              <w:t xml:space="preserve"> EJ, Seabrook GR, Freischlag JA, Towne JB. Neurologic complications of reoperative and emergent abdominal aortic reconstruction. Ann </w:t>
            </w:r>
            <w:proofErr w:type="spellStart"/>
            <w:r w:rsidRPr="00256D9B">
              <w:rPr>
                <w:rFonts w:cs="Helvetica"/>
                <w:color w:val="2D2D2D"/>
                <w:sz w:val="24"/>
                <w:szCs w:val="24"/>
                <w:shd w:val="clear" w:color="auto" w:fill="FFFFFF"/>
              </w:rPr>
              <w:t>Vasc</w:t>
            </w:r>
            <w:proofErr w:type="spellEnd"/>
            <w:r w:rsidRPr="00256D9B">
              <w:rPr>
                <w:rFonts w:cs="Helvetica"/>
                <w:color w:val="2D2D2D"/>
                <w:sz w:val="24"/>
                <w:szCs w:val="24"/>
                <w:shd w:val="clear" w:color="auto" w:fill="FFFFFF"/>
              </w:rPr>
              <w:t xml:space="preserve"> </w:t>
            </w:r>
            <w:proofErr w:type="spellStart"/>
            <w:r w:rsidRPr="00256D9B">
              <w:rPr>
                <w:rFonts w:cs="Helvetica"/>
                <w:color w:val="2D2D2D"/>
                <w:sz w:val="24"/>
                <w:szCs w:val="24"/>
                <w:shd w:val="clear" w:color="auto" w:fill="FFFFFF"/>
              </w:rPr>
              <w:t>Surg</w:t>
            </w:r>
            <w:proofErr w:type="spellEnd"/>
            <w:r w:rsidRPr="00256D9B">
              <w:rPr>
                <w:rFonts w:cs="Helvetica"/>
                <w:color w:val="2D2D2D"/>
                <w:sz w:val="24"/>
                <w:szCs w:val="24"/>
                <w:shd w:val="clear" w:color="auto" w:fill="FFFFFF"/>
              </w:rPr>
              <w:t xml:space="preserve"> 1995;9:95–101</w:t>
            </w:r>
          </w:p>
          <w:p w:rsidR="00256D9B" w:rsidRPr="00256D9B" w:rsidRDefault="00256D9B" w:rsidP="002C0ED0">
            <w:pPr>
              <w:spacing w:after="0" w:line="360" w:lineRule="atLeast"/>
              <w:rPr>
                <w:rFonts w:cs="Helvetica"/>
                <w:color w:val="2D2D2D"/>
                <w:sz w:val="24"/>
                <w:szCs w:val="24"/>
                <w:shd w:val="clear" w:color="auto" w:fill="FFFFFF"/>
              </w:rPr>
            </w:pPr>
          </w:p>
          <w:p w:rsidR="00E06CCD" w:rsidRDefault="00E06CCD" w:rsidP="002C0ED0">
            <w:pPr>
              <w:spacing w:after="0" w:line="360" w:lineRule="atLeast"/>
              <w:rPr>
                <w:sz w:val="24"/>
                <w:szCs w:val="24"/>
              </w:rPr>
            </w:pPr>
            <w:proofErr w:type="spellStart"/>
            <w:r w:rsidRPr="00256D9B">
              <w:rPr>
                <w:sz w:val="24"/>
                <w:szCs w:val="24"/>
              </w:rPr>
              <w:t>Weigang</w:t>
            </w:r>
            <w:proofErr w:type="spellEnd"/>
            <w:r w:rsidRPr="00256D9B">
              <w:rPr>
                <w:sz w:val="24"/>
                <w:szCs w:val="24"/>
              </w:rPr>
              <w:t xml:space="preserve"> E et al. Perioperative management to improve neurologic outcome in thoracic or thoracoabdominal aortic stent-grafting. Ann Thorac Surg 2006;82:1679-87</w:t>
            </w:r>
          </w:p>
          <w:p w:rsidR="00256D9B" w:rsidRPr="00256D9B" w:rsidRDefault="00256D9B" w:rsidP="002C0ED0">
            <w:pPr>
              <w:spacing w:after="0" w:line="360" w:lineRule="atLeast"/>
              <w:rPr>
                <w:sz w:val="24"/>
                <w:szCs w:val="24"/>
              </w:rPr>
            </w:pPr>
          </w:p>
          <w:p w:rsidR="00E06CCD" w:rsidRDefault="00E06CCD" w:rsidP="002C0ED0">
            <w:pPr>
              <w:spacing w:after="0" w:line="360" w:lineRule="atLeast"/>
              <w:rPr>
                <w:rFonts w:eastAsia="Times New Roman" w:cs="Helvetica"/>
                <w:color w:val="2D2D2D"/>
                <w:sz w:val="24"/>
                <w:szCs w:val="24"/>
              </w:rPr>
            </w:pPr>
            <w:r w:rsidRPr="00256D9B">
              <w:rPr>
                <w:rFonts w:eastAsia="Times New Roman" w:cs="Helvetica"/>
                <w:color w:val="2D2D2D"/>
                <w:sz w:val="24"/>
                <w:szCs w:val="24"/>
              </w:rPr>
              <w:t xml:space="preserve">Douglas MJ, </w:t>
            </w:r>
            <w:proofErr w:type="spellStart"/>
            <w:r w:rsidRPr="00256D9B">
              <w:rPr>
                <w:rFonts w:eastAsia="Times New Roman" w:cs="Helvetica"/>
                <w:color w:val="2D2D2D"/>
                <w:sz w:val="24"/>
                <w:szCs w:val="24"/>
              </w:rPr>
              <w:t>Swenerton</w:t>
            </w:r>
            <w:proofErr w:type="spellEnd"/>
            <w:r w:rsidRPr="00256D9B">
              <w:rPr>
                <w:rFonts w:eastAsia="Times New Roman" w:cs="Helvetica"/>
                <w:color w:val="2D2D2D"/>
                <w:sz w:val="24"/>
                <w:szCs w:val="24"/>
              </w:rPr>
              <w:t xml:space="preserve"> JE. Epidural anesthesia in three </w:t>
            </w:r>
            <w:proofErr w:type="spellStart"/>
            <w:r w:rsidRPr="00256D9B">
              <w:rPr>
                <w:rFonts w:eastAsia="Times New Roman" w:cs="Helvetica"/>
                <w:color w:val="2D2D2D"/>
                <w:sz w:val="24"/>
                <w:szCs w:val="24"/>
              </w:rPr>
              <w:t>parturients</w:t>
            </w:r>
            <w:proofErr w:type="spellEnd"/>
            <w:r w:rsidRPr="00256D9B">
              <w:rPr>
                <w:rFonts w:eastAsia="Times New Roman" w:cs="Helvetica"/>
                <w:color w:val="2D2D2D"/>
                <w:sz w:val="24"/>
                <w:szCs w:val="24"/>
              </w:rPr>
              <w:t xml:space="preserve"> with lumbar tattoos: a review of possible implications. Can J </w:t>
            </w:r>
            <w:proofErr w:type="spellStart"/>
            <w:r w:rsidRPr="00256D9B">
              <w:rPr>
                <w:rFonts w:eastAsia="Times New Roman" w:cs="Helvetica"/>
                <w:color w:val="2D2D2D"/>
                <w:sz w:val="24"/>
                <w:szCs w:val="24"/>
              </w:rPr>
              <w:t>Anaesth</w:t>
            </w:r>
            <w:proofErr w:type="spellEnd"/>
            <w:r w:rsidRPr="00256D9B">
              <w:rPr>
                <w:rFonts w:eastAsia="Times New Roman" w:cs="Helvetica"/>
                <w:color w:val="2D2D2D"/>
                <w:sz w:val="24"/>
                <w:szCs w:val="24"/>
              </w:rPr>
              <w:t>. 2002</w:t>
            </w:r>
            <w:proofErr w:type="gramStart"/>
            <w:r w:rsidRPr="00256D9B">
              <w:rPr>
                <w:rFonts w:eastAsia="Times New Roman" w:cs="Helvetica"/>
                <w:color w:val="2D2D2D"/>
                <w:sz w:val="24"/>
                <w:szCs w:val="24"/>
              </w:rPr>
              <w:t>;49</w:t>
            </w:r>
            <w:proofErr w:type="gramEnd"/>
            <w:r w:rsidRPr="00256D9B">
              <w:rPr>
                <w:rFonts w:eastAsia="Times New Roman" w:cs="Helvetica"/>
                <w:color w:val="2D2D2D"/>
                <w:sz w:val="24"/>
                <w:szCs w:val="24"/>
              </w:rPr>
              <w:t>(10):1057-60.</w:t>
            </w:r>
          </w:p>
          <w:p w:rsidR="0054637B" w:rsidRDefault="0054637B" w:rsidP="002C0ED0">
            <w:pPr>
              <w:spacing w:after="0" w:line="360" w:lineRule="atLeast"/>
              <w:rPr>
                <w:rFonts w:eastAsia="Times New Roman" w:cs="Helvetica"/>
                <w:color w:val="2D2D2D"/>
                <w:sz w:val="24"/>
                <w:szCs w:val="24"/>
              </w:rPr>
            </w:pPr>
          </w:p>
          <w:p w:rsidR="0054637B" w:rsidRDefault="0054637B" w:rsidP="002C0ED0">
            <w:pPr>
              <w:spacing w:after="0" w:line="360" w:lineRule="atLeast"/>
              <w:rPr>
                <w:rFonts w:eastAsia="Times New Roman" w:cs="Helvetica"/>
                <w:color w:val="2D2D2D"/>
                <w:sz w:val="24"/>
                <w:szCs w:val="24"/>
              </w:rPr>
            </w:pPr>
          </w:p>
          <w:p w:rsidR="0054637B" w:rsidRDefault="0054637B" w:rsidP="002C0ED0">
            <w:pPr>
              <w:spacing w:after="0" w:line="360" w:lineRule="atLeast"/>
              <w:rPr>
                <w:rFonts w:eastAsia="Times New Roman" w:cs="Helvetica"/>
                <w:color w:val="2D2D2D"/>
                <w:sz w:val="24"/>
                <w:szCs w:val="24"/>
              </w:rPr>
            </w:pPr>
          </w:p>
          <w:p w:rsidR="0054637B" w:rsidRPr="00256D9B" w:rsidRDefault="0054637B" w:rsidP="002C0ED0">
            <w:pPr>
              <w:spacing w:after="0" w:line="360" w:lineRule="atLeast"/>
              <w:rPr>
                <w:rFonts w:eastAsia="Times New Roman" w:cs="Helvetica"/>
                <w:color w:val="2D2D2D"/>
                <w:sz w:val="24"/>
                <w:szCs w:val="24"/>
              </w:rPr>
            </w:pPr>
          </w:p>
        </w:tc>
      </w:tr>
    </w:tbl>
    <w:p w:rsidR="004538C9" w:rsidRPr="00256D9B" w:rsidRDefault="0054637B">
      <w:pPr>
        <w:rPr>
          <w:sz w:val="24"/>
          <w:szCs w:val="24"/>
        </w:rPr>
      </w:pPr>
      <w:r>
        <w:rPr>
          <w:noProof/>
          <w:sz w:val="24"/>
          <w:szCs w:val="24"/>
        </w:rPr>
        <w:lastRenderedPageBreak/>
        <w:drawing>
          <wp:anchor distT="0" distB="0" distL="114300" distR="114300" simplePos="0" relativeHeight="251677696" behindDoc="1" locked="0" layoutInCell="1" allowOverlap="1">
            <wp:simplePos x="0" y="0"/>
            <wp:positionH relativeFrom="margin">
              <wp:posOffset>-180975</wp:posOffset>
            </wp:positionH>
            <wp:positionV relativeFrom="paragraph">
              <wp:posOffset>291465</wp:posOffset>
            </wp:positionV>
            <wp:extent cx="2266950" cy="2514600"/>
            <wp:effectExtent l="19050" t="0" r="0" b="0"/>
            <wp:wrapTight wrapText="bothSides">
              <wp:wrapPolygon edited="0">
                <wp:start x="-182" y="0"/>
                <wp:lineTo x="-182" y="21436"/>
                <wp:lineTo x="21600" y="21436"/>
                <wp:lineTo x="21600" y="0"/>
                <wp:lineTo x="-182" y="0"/>
              </wp:wrapPolygon>
            </wp:wrapTight>
            <wp:docPr id="6" name="Picture 3"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
                    <pic:cNvPicPr>
                      <a:picLocks noChangeAspect="1" noChangeArrowheads="1"/>
                    </pic:cNvPicPr>
                  </pic:nvPicPr>
                  <pic:blipFill>
                    <a:blip r:embed="rId8" cstate="print"/>
                    <a:srcRect/>
                    <a:stretch>
                      <a:fillRect/>
                    </a:stretch>
                  </pic:blipFill>
                  <pic:spPr bwMode="auto">
                    <a:xfrm>
                      <a:off x="0" y="0"/>
                      <a:ext cx="2266950" cy="2514600"/>
                    </a:xfrm>
                    <a:prstGeom prst="rect">
                      <a:avLst/>
                    </a:prstGeom>
                    <a:noFill/>
                    <a:ln w="9525">
                      <a:noFill/>
                      <a:miter lim="800000"/>
                      <a:headEnd/>
                      <a:tailEnd/>
                    </a:ln>
                  </pic:spPr>
                </pic:pic>
              </a:graphicData>
            </a:graphic>
          </wp:anchor>
        </w:drawing>
      </w:r>
      <w:r w:rsidR="009567CF" w:rsidRPr="00256D9B">
        <w:rPr>
          <w:sz w:val="24"/>
          <w:szCs w:val="24"/>
        </w:rPr>
        <w:t>Figure 1</w:t>
      </w:r>
      <w:r w:rsidR="00256D9B">
        <w:rPr>
          <w:sz w:val="24"/>
          <w:szCs w:val="24"/>
        </w:rPr>
        <w:t xml:space="preserve"> </w:t>
      </w:r>
      <w:r w:rsidR="009567CF" w:rsidRPr="00256D9B">
        <w:rPr>
          <w:sz w:val="24"/>
          <w:szCs w:val="24"/>
        </w:rPr>
        <w:t>(</w:t>
      </w:r>
      <w:proofErr w:type="spellStart"/>
      <w:r w:rsidR="009567CF" w:rsidRPr="00256D9B">
        <w:rPr>
          <w:rFonts w:cs="Helvetica"/>
          <w:color w:val="2D2D2D"/>
          <w:sz w:val="24"/>
          <w:szCs w:val="24"/>
          <w:shd w:val="clear" w:color="auto" w:fill="FFFFFF"/>
        </w:rPr>
        <w:t>Plecha</w:t>
      </w:r>
      <w:proofErr w:type="spellEnd"/>
      <w:r w:rsidR="009567CF" w:rsidRPr="00256D9B">
        <w:rPr>
          <w:rFonts w:cs="Helvetica"/>
          <w:color w:val="2D2D2D"/>
          <w:sz w:val="24"/>
          <w:szCs w:val="24"/>
          <w:shd w:val="clear" w:color="auto" w:fill="FFFFFF"/>
        </w:rPr>
        <w:t xml:space="preserve"> EJ)</w:t>
      </w:r>
      <w:r w:rsidR="009567CF" w:rsidRPr="00256D9B">
        <w:rPr>
          <w:rFonts w:cs="Helvetica"/>
          <w:color w:val="2D2D2D"/>
          <w:sz w:val="24"/>
          <w:szCs w:val="24"/>
          <w:shd w:val="clear" w:color="auto" w:fill="FFFFFF"/>
        </w:rPr>
        <w:tab/>
      </w:r>
      <w:r w:rsidR="009567CF" w:rsidRPr="00256D9B">
        <w:rPr>
          <w:rFonts w:cs="Helvetica"/>
          <w:color w:val="2D2D2D"/>
          <w:sz w:val="24"/>
          <w:szCs w:val="24"/>
          <w:shd w:val="clear" w:color="auto" w:fill="FFFFFF"/>
        </w:rPr>
        <w:tab/>
      </w:r>
      <w:r w:rsidR="009567CF" w:rsidRPr="00256D9B">
        <w:rPr>
          <w:rFonts w:cs="Helvetica"/>
          <w:color w:val="2D2D2D"/>
          <w:sz w:val="24"/>
          <w:szCs w:val="24"/>
          <w:shd w:val="clear" w:color="auto" w:fill="FFFFFF"/>
        </w:rPr>
        <w:tab/>
      </w:r>
      <w:r w:rsidR="009567CF" w:rsidRPr="00256D9B">
        <w:rPr>
          <w:rFonts w:cs="Helvetica"/>
          <w:color w:val="2D2D2D"/>
          <w:sz w:val="24"/>
          <w:szCs w:val="24"/>
          <w:shd w:val="clear" w:color="auto" w:fill="FFFFFF"/>
        </w:rPr>
        <w:tab/>
      </w:r>
      <w:r w:rsidR="009567CF" w:rsidRPr="00256D9B">
        <w:rPr>
          <w:rFonts w:cs="Helvetica"/>
          <w:color w:val="2D2D2D"/>
          <w:sz w:val="24"/>
          <w:szCs w:val="24"/>
          <w:shd w:val="clear" w:color="auto" w:fill="FFFFFF"/>
        </w:rPr>
        <w:tab/>
      </w:r>
      <w:r w:rsidR="009567CF" w:rsidRPr="00256D9B">
        <w:rPr>
          <w:rFonts w:cs="Helvetica"/>
          <w:color w:val="2D2D2D"/>
          <w:sz w:val="24"/>
          <w:szCs w:val="24"/>
          <w:shd w:val="clear" w:color="auto" w:fill="FFFFFF"/>
        </w:rPr>
        <w:tab/>
      </w:r>
      <w:r w:rsidR="009567CF" w:rsidRPr="00256D9B">
        <w:rPr>
          <w:sz w:val="24"/>
          <w:szCs w:val="24"/>
        </w:rPr>
        <w:t>Figure 2 (</w:t>
      </w:r>
      <w:proofErr w:type="spellStart"/>
      <w:r w:rsidR="009567CF" w:rsidRPr="00256D9B">
        <w:rPr>
          <w:sz w:val="24"/>
          <w:szCs w:val="24"/>
        </w:rPr>
        <w:t>Yandrapalli</w:t>
      </w:r>
      <w:proofErr w:type="spellEnd"/>
      <w:r w:rsidR="009567CF" w:rsidRPr="00256D9B">
        <w:rPr>
          <w:sz w:val="24"/>
          <w:szCs w:val="24"/>
        </w:rPr>
        <w:t>)</w:t>
      </w:r>
    </w:p>
    <w:p w:rsidR="004538C9" w:rsidRDefault="0054637B">
      <w:r>
        <w:rPr>
          <w:noProof/>
        </w:rPr>
        <w:drawing>
          <wp:anchor distT="0" distB="0" distL="114300" distR="114300" simplePos="0" relativeHeight="251679744" behindDoc="1" locked="0" layoutInCell="1" allowOverlap="1">
            <wp:simplePos x="0" y="0"/>
            <wp:positionH relativeFrom="column">
              <wp:posOffset>914400</wp:posOffset>
            </wp:positionH>
            <wp:positionV relativeFrom="paragraph">
              <wp:posOffset>117475</wp:posOffset>
            </wp:positionV>
            <wp:extent cx="3629025" cy="2295525"/>
            <wp:effectExtent l="19050" t="0" r="9525" b="0"/>
            <wp:wrapTight wrapText="bothSides">
              <wp:wrapPolygon edited="0">
                <wp:start x="-113" y="0"/>
                <wp:lineTo x="-113" y="21510"/>
                <wp:lineTo x="21657" y="21510"/>
                <wp:lineTo x="21657" y="0"/>
                <wp:lineTo x="-113" y="0"/>
              </wp:wrapPolygon>
            </wp:wrapTight>
            <wp:docPr id="3" name="Picture 1" descr="Image result for phlebostatic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lebostatic axis"/>
                    <pic:cNvPicPr>
                      <a:picLocks noChangeAspect="1" noChangeArrowheads="1"/>
                    </pic:cNvPicPr>
                  </pic:nvPicPr>
                  <pic:blipFill>
                    <a:blip r:embed="rId9" cstate="print"/>
                    <a:srcRect/>
                    <a:stretch>
                      <a:fillRect/>
                    </a:stretch>
                  </pic:blipFill>
                  <pic:spPr bwMode="auto">
                    <a:xfrm>
                      <a:off x="0" y="0"/>
                      <a:ext cx="3629025" cy="2295525"/>
                    </a:xfrm>
                    <a:prstGeom prst="rect">
                      <a:avLst/>
                    </a:prstGeom>
                    <a:noFill/>
                    <a:ln w="9525">
                      <a:noFill/>
                      <a:miter lim="800000"/>
                      <a:headEnd/>
                      <a:tailEnd/>
                    </a:ln>
                  </pic:spPr>
                </pic:pic>
              </a:graphicData>
            </a:graphic>
          </wp:anchor>
        </w:drawing>
      </w:r>
    </w:p>
    <w:p w:rsidR="001A1DFD" w:rsidRDefault="001A1DFD"/>
    <w:p w:rsidR="001A1DFD" w:rsidRDefault="001A1DFD"/>
    <w:p w:rsidR="001A1DFD" w:rsidRDefault="001A1DFD"/>
    <w:p w:rsidR="001A1DFD" w:rsidRDefault="001A1DFD"/>
    <w:p w:rsidR="001A1DFD" w:rsidRDefault="001A1DFD"/>
    <w:p w:rsidR="00256D9B" w:rsidRDefault="00256D9B"/>
    <w:p w:rsidR="00B86A3B" w:rsidRDefault="00B86A3B"/>
    <w:p w:rsidR="001A1DFD" w:rsidRDefault="00E06CCD">
      <w:r>
        <w:t>Appendix</w:t>
      </w:r>
      <w:r w:rsidR="001A1DFD">
        <w:t xml:space="preserve"> </w:t>
      </w:r>
      <w:r w:rsidR="003243E5">
        <w:t xml:space="preserve">1 </w:t>
      </w:r>
      <w:r w:rsidR="001A1DFD">
        <w:t>(MGH Guidelines for Neuraxial Anesthesia)</w:t>
      </w:r>
    </w:p>
    <w:tbl>
      <w:tblPr>
        <w:tblStyle w:val="TableGrid"/>
        <w:tblW w:w="0" w:type="auto"/>
        <w:tblLook w:val="04A0"/>
      </w:tblPr>
      <w:tblGrid>
        <w:gridCol w:w="1900"/>
        <w:gridCol w:w="2557"/>
        <w:gridCol w:w="2127"/>
        <w:gridCol w:w="1961"/>
        <w:gridCol w:w="2191"/>
      </w:tblGrid>
      <w:tr w:rsidR="001A1DFD" w:rsidRPr="001A1DFD" w:rsidTr="00B95FAE">
        <w:trPr>
          <w:trHeight w:val="1081"/>
        </w:trPr>
        <w:tc>
          <w:tcPr>
            <w:tcW w:w="1900" w:type="dxa"/>
            <w:hideMark/>
          </w:tcPr>
          <w:p w:rsidR="001A1DFD" w:rsidRPr="001A1DFD" w:rsidRDefault="001A1DFD">
            <w:pPr>
              <w:rPr>
                <w:b/>
                <w:bCs/>
              </w:rPr>
            </w:pPr>
            <w:r w:rsidRPr="001A1DFD">
              <w:rPr>
                <w:b/>
                <w:bCs/>
              </w:rPr>
              <w:t>DRUG (GENERIC)</w:t>
            </w:r>
          </w:p>
        </w:tc>
        <w:tc>
          <w:tcPr>
            <w:tcW w:w="2557" w:type="dxa"/>
            <w:hideMark/>
          </w:tcPr>
          <w:p w:rsidR="001A1DFD" w:rsidRPr="001A1DFD" w:rsidRDefault="001A1DFD">
            <w:pPr>
              <w:rPr>
                <w:b/>
                <w:bCs/>
              </w:rPr>
            </w:pPr>
            <w:r w:rsidRPr="001A1DFD">
              <w:rPr>
                <w:b/>
                <w:bCs/>
              </w:rPr>
              <w:t>COMMON  TRADE NAMES</w:t>
            </w:r>
          </w:p>
        </w:tc>
        <w:tc>
          <w:tcPr>
            <w:tcW w:w="2127" w:type="dxa"/>
            <w:hideMark/>
          </w:tcPr>
          <w:p w:rsidR="001A1DFD" w:rsidRPr="001A1DFD" w:rsidRDefault="001A1DFD" w:rsidP="001A1DFD">
            <w:pPr>
              <w:rPr>
                <w:b/>
                <w:bCs/>
              </w:rPr>
            </w:pPr>
            <w:r w:rsidRPr="001A1DFD">
              <w:rPr>
                <w:b/>
                <w:bCs/>
              </w:rPr>
              <w:t>INTERVAL FOR CATHETER PLACEMENT  OR NEURAXIAL PROCEDURE AFTER LAST DOSE</w:t>
            </w:r>
          </w:p>
        </w:tc>
        <w:tc>
          <w:tcPr>
            <w:tcW w:w="1961" w:type="dxa"/>
            <w:hideMark/>
          </w:tcPr>
          <w:p w:rsidR="001A1DFD" w:rsidRPr="001A1DFD" w:rsidRDefault="001A1DFD" w:rsidP="001A1DFD">
            <w:pPr>
              <w:rPr>
                <w:b/>
                <w:bCs/>
              </w:rPr>
            </w:pPr>
            <w:r w:rsidRPr="001A1DFD">
              <w:rPr>
                <w:b/>
                <w:bCs/>
              </w:rPr>
              <w:t>INTERVAL FOR  CATHETER REMOVAL AFTER MOST RECENT DOSE</w:t>
            </w:r>
          </w:p>
        </w:tc>
        <w:tc>
          <w:tcPr>
            <w:tcW w:w="2190" w:type="dxa"/>
            <w:hideMark/>
          </w:tcPr>
          <w:p w:rsidR="001A1DFD" w:rsidRPr="001A1DFD" w:rsidRDefault="001A1DFD" w:rsidP="001A1DFD">
            <w:pPr>
              <w:rPr>
                <w:b/>
                <w:bCs/>
                <w:u w:val="single"/>
              </w:rPr>
            </w:pPr>
            <w:r w:rsidRPr="001A1DFD">
              <w:rPr>
                <w:b/>
                <w:bCs/>
                <w:u w:val="single"/>
              </w:rPr>
              <w:t>RECOMMENDED</w:t>
            </w:r>
            <w:r w:rsidRPr="001A1DFD">
              <w:rPr>
                <w:b/>
                <w:bCs/>
              </w:rPr>
              <w:t xml:space="preserve"> INTERVAL TO RESTART MED AFTER  NEURAXIAL PROCEDURE OR REMOVAL OF EPIDURAL CATHETER</w:t>
            </w:r>
          </w:p>
        </w:tc>
      </w:tr>
      <w:tr w:rsidR="001A1DFD" w:rsidRPr="001A1DFD" w:rsidTr="00B95FAE">
        <w:trPr>
          <w:trHeight w:val="291"/>
        </w:trPr>
        <w:tc>
          <w:tcPr>
            <w:tcW w:w="1900" w:type="dxa"/>
            <w:hideMark/>
          </w:tcPr>
          <w:p w:rsidR="001A1DFD" w:rsidRPr="001A1DFD" w:rsidRDefault="001A1DFD">
            <w:r w:rsidRPr="001A1DFD">
              <w:t>ASA</w:t>
            </w:r>
          </w:p>
        </w:tc>
        <w:tc>
          <w:tcPr>
            <w:tcW w:w="2557" w:type="dxa"/>
            <w:hideMark/>
          </w:tcPr>
          <w:p w:rsidR="001A1DFD" w:rsidRPr="001A1DFD" w:rsidRDefault="001A1DFD">
            <w:r w:rsidRPr="001A1DFD">
              <w:t>Asprin</w:t>
            </w:r>
          </w:p>
        </w:tc>
        <w:tc>
          <w:tcPr>
            <w:tcW w:w="2127" w:type="dxa"/>
            <w:hideMark/>
          </w:tcPr>
          <w:p w:rsidR="001A1DFD" w:rsidRPr="001A1DFD" w:rsidRDefault="001A1DFD" w:rsidP="001A1DFD">
            <w:r w:rsidRPr="001A1DFD">
              <w:t>See NSAID</w:t>
            </w:r>
          </w:p>
        </w:tc>
        <w:tc>
          <w:tcPr>
            <w:tcW w:w="1961" w:type="dxa"/>
            <w:hideMark/>
          </w:tcPr>
          <w:p w:rsidR="001A1DFD" w:rsidRPr="001A1DFD" w:rsidRDefault="001A1DFD" w:rsidP="001A1DFD">
            <w:pPr>
              <w:rPr>
                <w:b/>
                <w:bCs/>
              </w:rPr>
            </w:pPr>
            <w:r w:rsidRPr="001A1DFD">
              <w:rPr>
                <w:b/>
                <w:bCs/>
              </w:rPr>
              <w:t> </w:t>
            </w:r>
          </w:p>
        </w:tc>
        <w:tc>
          <w:tcPr>
            <w:tcW w:w="2190" w:type="dxa"/>
            <w:hideMark/>
          </w:tcPr>
          <w:p w:rsidR="001A1DFD" w:rsidRPr="001A1DFD" w:rsidRDefault="001A1DFD" w:rsidP="001A1DFD">
            <w:pPr>
              <w:rPr>
                <w:b/>
                <w:bCs/>
                <w:u w:val="single"/>
              </w:rPr>
            </w:pPr>
          </w:p>
        </w:tc>
      </w:tr>
      <w:tr w:rsidR="001A1DFD" w:rsidRPr="001A1DFD" w:rsidTr="00B95FAE">
        <w:trPr>
          <w:trHeight w:val="404"/>
        </w:trPr>
        <w:tc>
          <w:tcPr>
            <w:tcW w:w="1900" w:type="dxa"/>
            <w:hideMark/>
          </w:tcPr>
          <w:p w:rsidR="001A1DFD" w:rsidRPr="001A1DFD" w:rsidRDefault="001A1DFD">
            <w:r w:rsidRPr="001A1DFD">
              <w:t xml:space="preserve">ABCIXIMAB  </w:t>
            </w:r>
          </w:p>
        </w:tc>
        <w:tc>
          <w:tcPr>
            <w:tcW w:w="2557" w:type="dxa"/>
            <w:hideMark/>
          </w:tcPr>
          <w:p w:rsidR="001A1DFD" w:rsidRPr="001A1DFD" w:rsidRDefault="001A1DFD">
            <w:r w:rsidRPr="001A1DFD">
              <w:t xml:space="preserve">REOPRO (Time to platelet aggregation for ABCIXIMAB/REOPRO is 24 - 48 hours) </w:t>
            </w:r>
          </w:p>
        </w:tc>
        <w:tc>
          <w:tcPr>
            <w:tcW w:w="2127" w:type="dxa"/>
            <w:hideMark/>
          </w:tcPr>
          <w:p w:rsidR="001A1DFD" w:rsidRPr="001A1DFD" w:rsidRDefault="001A1DFD" w:rsidP="001A1DFD">
            <w:r w:rsidRPr="001A1DFD">
              <w:t>48 Hours</w:t>
            </w:r>
          </w:p>
        </w:tc>
        <w:tc>
          <w:tcPr>
            <w:tcW w:w="1961" w:type="dxa"/>
            <w:hideMark/>
          </w:tcPr>
          <w:p w:rsidR="001A1DFD" w:rsidRPr="001A1DFD" w:rsidRDefault="001A1DFD" w:rsidP="001A1DFD">
            <w:r w:rsidRPr="001A1DFD">
              <w:t>48 Hours</w:t>
            </w:r>
          </w:p>
        </w:tc>
        <w:tc>
          <w:tcPr>
            <w:tcW w:w="2190" w:type="dxa"/>
            <w:hideMark/>
          </w:tcPr>
          <w:p w:rsidR="001A1DFD" w:rsidRPr="001A1DFD" w:rsidRDefault="001A1DFD" w:rsidP="001A1DFD">
            <w:r w:rsidRPr="001A1DFD">
              <w:t>24 Hours</w:t>
            </w:r>
          </w:p>
        </w:tc>
      </w:tr>
      <w:tr w:rsidR="001A1DFD" w:rsidRPr="001A1DFD" w:rsidTr="00B95FAE">
        <w:trPr>
          <w:trHeight w:val="252"/>
        </w:trPr>
        <w:tc>
          <w:tcPr>
            <w:tcW w:w="1900" w:type="dxa"/>
            <w:hideMark/>
          </w:tcPr>
          <w:p w:rsidR="001A1DFD" w:rsidRPr="001A1DFD" w:rsidRDefault="001A1DFD">
            <w:r w:rsidRPr="001A1DFD">
              <w:t>ALTEPLASE</w:t>
            </w:r>
          </w:p>
        </w:tc>
        <w:tc>
          <w:tcPr>
            <w:tcW w:w="2557" w:type="dxa"/>
            <w:hideMark/>
          </w:tcPr>
          <w:p w:rsidR="001A1DFD" w:rsidRPr="001A1DFD" w:rsidRDefault="001A1DFD">
            <w:r w:rsidRPr="001A1DFD">
              <w:t>ACTIVASE</w:t>
            </w:r>
          </w:p>
        </w:tc>
        <w:tc>
          <w:tcPr>
            <w:tcW w:w="2127" w:type="dxa"/>
            <w:hideMark/>
          </w:tcPr>
          <w:p w:rsidR="001A1DFD" w:rsidRPr="001A1DFD" w:rsidRDefault="001A1DFD" w:rsidP="001A1DFD">
            <w:r w:rsidRPr="001A1DFD">
              <w:t>10 Days</w:t>
            </w:r>
          </w:p>
        </w:tc>
        <w:tc>
          <w:tcPr>
            <w:tcW w:w="1961" w:type="dxa"/>
            <w:hideMark/>
          </w:tcPr>
          <w:p w:rsidR="001A1DFD" w:rsidRPr="001A1DFD" w:rsidRDefault="001A1DFD" w:rsidP="001A1DFD">
            <w:r w:rsidRPr="001A1DFD">
              <w:t>10 Days</w:t>
            </w:r>
          </w:p>
        </w:tc>
        <w:tc>
          <w:tcPr>
            <w:tcW w:w="2190" w:type="dxa"/>
            <w:hideMark/>
          </w:tcPr>
          <w:p w:rsidR="001A1DFD" w:rsidRPr="001A1DFD" w:rsidRDefault="001A1DFD" w:rsidP="001A1DFD">
            <w:r w:rsidRPr="001A1DFD">
              <w:t>10 Days</w:t>
            </w:r>
          </w:p>
        </w:tc>
      </w:tr>
      <w:tr w:rsidR="001A1DFD" w:rsidRPr="001A1DFD" w:rsidTr="00B95FAE">
        <w:trPr>
          <w:trHeight w:val="404"/>
        </w:trPr>
        <w:tc>
          <w:tcPr>
            <w:tcW w:w="1900" w:type="dxa"/>
            <w:hideMark/>
          </w:tcPr>
          <w:p w:rsidR="001A1DFD" w:rsidRPr="001A1DFD" w:rsidRDefault="001A1DFD">
            <w:r w:rsidRPr="001A1DFD">
              <w:t>APIXABAN</w:t>
            </w:r>
          </w:p>
        </w:tc>
        <w:tc>
          <w:tcPr>
            <w:tcW w:w="2557" w:type="dxa"/>
            <w:hideMark/>
          </w:tcPr>
          <w:p w:rsidR="001A1DFD" w:rsidRPr="001A1DFD" w:rsidRDefault="001A1DFD">
            <w:r w:rsidRPr="001A1DFD">
              <w:t>ELIQUIS</w:t>
            </w:r>
          </w:p>
        </w:tc>
        <w:tc>
          <w:tcPr>
            <w:tcW w:w="2127" w:type="dxa"/>
            <w:hideMark/>
          </w:tcPr>
          <w:p w:rsidR="001A1DFD" w:rsidRPr="001A1DFD" w:rsidRDefault="001A1DFD" w:rsidP="001A1DFD">
            <w:r w:rsidRPr="001A1DFD">
              <w:t>2 days (CrCl&gt;50); 3 days (CrCl&lt;50</w:t>
            </w:r>
          </w:p>
        </w:tc>
        <w:tc>
          <w:tcPr>
            <w:tcW w:w="1961" w:type="dxa"/>
            <w:hideMark/>
          </w:tcPr>
          <w:p w:rsidR="001A1DFD" w:rsidRPr="001A1DFD" w:rsidRDefault="001A1DFD" w:rsidP="001A1DFD">
            <w:r w:rsidRPr="001A1DFD">
              <w:t>48 hours</w:t>
            </w:r>
          </w:p>
        </w:tc>
        <w:tc>
          <w:tcPr>
            <w:tcW w:w="2190" w:type="dxa"/>
            <w:hideMark/>
          </w:tcPr>
          <w:p w:rsidR="001A1DFD" w:rsidRPr="001A1DFD" w:rsidRDefault="001A1DFD" w:rsidP="001A1DFD">
            <w:r w:rsidRPr="001A1DFD">
              <w:t>6 hours, 24 hours if Traumatic placement</w:t>
            </w:r>
          </w:p>
        </w:tc>
      </w:tr>
      <w:tr w:rsidR="001A1DFD" w:rsidRPr="001A1DFD" w:rsidTr="00B95FAE">
        <w:trPr>
          <w:trHeight w:val="404"/>
        </w:trPr>
        <w:tc>
          <w:tcPr>
            <w:tcW w:w="1900" w:type="dxa"/>
            <w:hideMark/>
          </w:tcPr>
          <w:p w:rsidR="001A1DFD" w:rsidRPr="001A1DFD" w:rsidRDefault="001A1DFD">
            <w:r w:rsidRPr="001A1DFD">
              <w:t>ARGATROBAN</w:t>
            </w:r>
          </w:p>
        </w:tc>
        <w:tc>
          <w:tcPr>
            <w:tcW w:w="2557" w:type="dxa"/>
            <w:hideMark/>
          </w:tcPr>
          <w:p w:rsidR="001A1DFD" w:rsidRPr="001A1DFD" w:rsidRDefault="001A1DFD">
            <w:r w:rsidRPr="001A1DFD">
              <w:t>ACOVA</w:t>
            </w:r>
          </w:p>
        </w:tc>
        <w:tc>
          <w:tcPr>
            <w:tcW w:w="2127" w:type="dxa"/>
            <w:hideMark/>
          </w:tcPr>
          <w:p w:rsidR="001A1DFD" w:rsidRPr="001A1DFD" w:rsidRDefault="001A1DFD" w:rsidP="001A1DFD">
            <w:r w:rsidRPr="001A1DFD">
              <w:t xml:space="preserve">At least 6 Hours; check for normal  PTT or ACT  </w:t>
            </w:r>
          </w:p>
        </w:tc>
        <w:tc>
          <w:tcPr>
            <w:tcW w:w="1961" w:type="dxa"/>
            <w:hideMark/>
          </w:tcPr>
          <w:p w:rsidR="001A1DFD" w:rsidRPr="001A1DFD" w:rsidRDefault="001A1DFD" w:rsidP="001A1DFD">
            <w:r w:rsidRPr="001A1DFD">
              <w:t>Check for normal PTT or ACT</w:t>
            </w:r>
          </w:p>
        </w:tc>
        <w:tc>
          <w:tcPr>
            <w:tcW w:w="2190" w:type="dxa"/>
            <w:hideMark/>
          </w:tcPr>
          <w:p w:rsidR="001A1DFD" w:rsidRPr="001A1DFD" w:rsidRDefault="001A1DFD" w:rsidP="001A1DFD">
            <w:r w:rsidRPr="001A1DFD">
              <w:t>2 Hours</w:t>
            </w:r>
          </w:p>
        </w:tc>
      </w:tr>
      <w:tr w:rsidR="001A1DFD" w:rsidRPr="001A1DFD" w:rsidTr="00B95FAE">
        <w:trPr>
          <w:trHeight w:val="424"/>
        </w:trPr>
        <w:tc>
          <w:tcPr>
            <w:tcW w:w="1900" w:type="dxa"/>
            <w:hideMark/>
          </w:tcPr>
          <w:p w:rsidR="001A1DFD" w:rsidRPr="001A1DFD" w:rsidRDefault="001A1DFD">
            <w:r w:rsidRPr="001A1DFD">
              <w:t>BIVALIRUDIN</w:t>
            </w:r>
          </w:p>
        </w:tc>
        <w:tc>
          <w:tcPr>
            <w:tcW w:w="2557" w:type="dxa"/>
            <w:hideMark/>
          </w:tcPr>
          <w:p w:rsidR="001A1DFD" w:rsidRPr="001A1DFD" w:rsidRDefault="001A1DFD">
            <w:r w:rsidRPr="001A1DFD">
              <w:t>ANGIOMAX</w:t>
            </w:r>
          </w:p>
        </w:tc>
        <w:tc>
          <w:tcPr>
            <w:tcW w:w="2127" w:type="dxa"/>
            <w:hideMark/>
          </w:tcPr>
          <w:p w:rsidR="001A1DFD" w:rsidRPr="001A1DFD" w:rsidRDefault="001A1DFD" w:rsidP="001A1DFD">
            <w:r w:rsidRPr="001A1DFD">
              <w:t xml:space="preserve">At least 6 Hours; check for normal  PTT or ACT  </w:t>
            </w:r>
          </w:p>
        </w:tc>
        <w:tc>
          <w:tcPr>
            <w:tcW w:w="1961" w:type="dxa"/>
            <w:hideMark/>
          </w:tcPr>
          <w:p w:rsidR="001A1DFD" w:rsidRPr="001A1DFD" w:rsidRDefault="001A1DFD" w:rsidP="001A1DFD">
            <w:r w:rsidRPr="001A1DFD">
              <w:t>Check for normal PTT or ACT</w:t>
            </w:r>
          </w:p>
        </w:tc>
        <w:tc>
          <w:tcPr>
            <w:tcW w:w="2190" w:type="dxa"/>
            <w:hideMark/>
          </w:tcPr>
          <w:p w:rsidR="001A1DFD" w:rsidRPr="001A1DFD" w:rsidRDefault="001A1DFD" w:rsidP="001A1DFD">
            <w:r w:rsidRPr="001A1DFD">
              <w:t>2 Hours</w:t>
            </w:r>
          </w:p>
        </w:tc>
      </w:tr>
      <w:tr w:rsidR="001A1DFD" w:rsidRPr="001A1DFD" w:rsidTr="00B95FAE">
        <w:trPr>
          <w:trHeight w:val="252"/>
        </w:trPr>
        <w:tc>
          <w:tcPr>
            <w:tcW w:w="1900" w:type="dxa"/>
            <w:hideMark/>
          </w:tcPr>
          <w:p w:rsidR="001A1DFD" w:rsidRPr="001A1DFD" w:rsidRDefault="001A1DFD">
            <w:r w:rsidRPr="001A1DFD">
              <w:t xml:space="preserve">CILOSTAZOL </w:t>
            </w:r>
            <w:r w:rsidRPr="001A1DFD">
              <w:rPr>
                <w:b/>
                <w:bCs/>
              </w:rPr>
              <w:t>(ALONE)</w:t>
            </w:r>
          </w:p>
        </w:tc>
        <w:tc>
          <w:tcPr>
            <w:tcW w:w="2557" w:type="dxa"/>
            <w:hideMark/>
          </w:tcPr>
          <w:p w:rsidR="001A1DFD" w:rsidRPr="001A1DFD" w:rsidRDefault="001A1DFD">
            <w:r w:rsidRPr="001A1DFD">
              <w:t>PLETAL</w:t>
            </w:r>
          </w:p>
        </w:tc>
        <w:tc>
          <w:tcPr>
            <w:tcW w:w="6278" w:type="dxa"/>
            <w:gridSpan w:val="3"/>
            <w:hideMark/>
          </w:tcPr>
          <w:p w:rsidR="001A1DFD" w:rsidRPr="001A1DFD" w:rsidRDefault="001A1DFD">
            <w:r w:rsidRPr="001A1DFD">
              <w:t>Placement and removal of catheter is okay</w:t>
            </w:r>
          </w:p>
        </w:tc>
      </w:tr>
      <w:tr w:rsidR="001A1DFD" w:rsidRPr="001A1DFD" w:rsidTr="00B95FAE">
        <w:trPr>
          <w:trHeight w:val="252"/>
        </w:trPr>
        <w:tc>
          <w:tcPr>
            <w:tcW w:w="1900" w:type="dxa"/>
            <w:hideMark/>
          </w:tcPr>
          <w:p w:rsidR="001A1DFD" w:rsidRPr="001A1DFD" w:rsidRDefault="001A1DFD">
            <w:r w:rsidRPr="001A1DFD">
              <w:t xml:space="preserve">CILOSTAZOL </w:t>
            </w:r>
            <w:r w:rsidRPr="001A1DFD">
              <w:rPr>
                <w:b/>
                <w:bCs/>
              </w:rPr>
              <w:t xml:space="preserve"> (with ASA) </w:t>
            </w:r>
          </w:p>
        </w:tc>
        <w:tc>
          <w:tcPr>
            <w:tcW w:w="2557" w:type="dxa"/>
            <w:hideMark/>
          </w:tcPr>
          <w:p w:rsidR="001A1DFD" w:rsidRPr="001A1DFD" w:rsidRDefault="001A1DFD">
            <w:r w:rsidRPr="001A1DFD">
              <w:t>PLETAL</w:t>
            </w:r>
          </w:p>
        </w:tc>
        <w:tc>
          <w:tcPr>
            <w:tcW w:w="2127" w:type="dxa"/>
            <w:hideMark/>
          </w:tcPr>
          <w:p w:rsidR="001A1DFD" w:rsidRPr="001A1DFD" w:rsidRDefault="001A1DFD" w:rsidP="001A1DFD">
            <w:r w:rsidRPr="001A1DFD">
              <w:t>48 Hours</w:t>
            </w:r>
          </w:p>
        </w:tc>
        <w:tc>
          <w:tcPr>
            <w:tcW w:w="1961" w:type="dxa"/>
            <w:hideMark/>
          </w:tcPr>
          <w:p w:rsidR="001A1DFD" w:rsidRPr="001A1DFD" w:rsidRDefault="001A1DFD" w:rsidP="001A1DFD">
            <w:r w:rsidRPr="001A1DFD">
              <w:t>48 Hours</w:t>
            </w:r>
          </w:p>
        </w:tc>
        <w:tc>
          <w:tcPr>
            <w:tcW w:w="2190" w:type="dxa"/>
            <w:hideMark/>
          </w:tcPr>
          <w:p w:rsidR="001A1DFD" w:rsidRPr="001A1DFD" w:rsidRDefault="001A1DFD" w:rsidP="001A1DFD">
            <w:r w:rsidRPr="001A1DFD">
              <w:t>2 Hours</w:t>
            </w:r>
          </w:p>
        </w:tc>
      </w:tr>
      <w:tr w:rsidR="001A1DFD" w:rsidRPr="001A1DFD" w:rsidTr="00B95FAE">
        <w:trPr>
          <w:trHeight w:val="656"/>
        </w:trPr>
        <w:tc>
          <w:tcPr>
            <w:tcW w:w="1900" w:type="dxa"/>
            <w:hideMark/>
          </w:tcPr>
          <w:p w:rsidR="001A1DFD" w:rsidRPr="001A1DFD" w:rsidRDefault="001A1DFD">
            <w:r w:rsidRPr="001A1DFD">
              <w:lastRenderedPageBreak/>
              <w:t>CLOPIDOGREL</w:t>
            </w:r>
          </w:p>
        </w:tc>
        <w:tc>
          <w:tcPr>
            <w:tcW w:w="2557" w:type="dxa"/>
            <w:hideMark/>
          </w:tcPr>
          <w:p w:rsidR="001A1DFD" w:rsidRPr="001A1DFD" w:rsidRDefault="001A1DFD">
            <w:r w:rsidRPr="001A1DFD">
              <w:t>PLAVIX   (75 mg)</w:t>
            </w:r>
          </w:p>
        </w:tc>
        <w:tc>
          <w:tcPr>
            <w:tcW w:w="2127" w:type="dxa"/>
            <w:hideMark/>
          </w:tcPr>
          <w:p w:rsidR="001A1DFD" w:rsidRPr="001A1DFD" w:rsidRDefault="001A1DFD" w:rsidP="001A1DFD">
            <w:r w:rsidRPr="001A1DFD">
              <w:t>5-7 Days</w:t>
            </w:r>
          </w:p>
        </w:tc>
        <w:tc>
          <w:tcPr>
            <w:tcW w:w="1961" w:type="dxa"/>
            <w:hideMark/>
          </w:tcPr>
          <w:p w:rsidR="001A1DFD" w:rsidRPr="001A1DFD" w:rsidRDefault="001A1DFD">
            <w:r w:rsidRPr="001A1DFD">
              <w:t>*&gt; 5 days (If single dose given, Urgent Anesthesia consultation and hold further dosing)</w:t>
            </w:r>
          </w:p>
        </w:tc>
        <w:tc>
          <w:tcPr>
            <w:tcW w:w="2190" w:type="dxa"/>
            <w:hideMark/>
          </w:tcPr>
          <w:p w:rsidR="001A1DFD" w:rsidRPr="001A1DFD" w:rsidRDefault="001A1DFD" w:rsidP="001A1DFD">
            <w:r w:rsidRPr="001A1DFD">
              <w:t>24 Hours</w:t>
            </w:r>
          </w:p>
        </w:tc>
      </w:tr>
      <w:tr w:rsidR="001A1DFD" w:rsidRPr="001A1DFD" w:rsidTr="00B95FAE">
        <w:trPr>
          <w:trHeight w:val="414"/>
        </w:trPr>
        <w:tc>
          <w:tcPr>
            <w:tcW w:w="1900" w:type="dxa"/>
            <w:hideMark/>
          </w:tcPr>
          <w:p w:rsidR="001A1DFD" w:rsidRPr="001A1DFD" w:rsidRDefault="001A1DFD">
            <w:r w:rsidRPr="001A1DFD">
              <w:t>CLOPIDOGREL* call cardiologist</w:t>
            </w:r>
          </w:p>
        </w:tc>
        <w:tc>
          <w:tcPr>
            <w:tcW w:w="2557" w:type="dxa"/>
            <w:hideMark/>
          </w:tcPr>
          <w:p w:rsidR="001A1DFD" w:rsidRPr="001A1DFD" w:rsidRDefault="001A1DFD">
            <w:r w:rsidRPr="001A1DFD">
              <w:t>PLAVIX   (300 - 600 mg)</w:t>
            </w:r>
          </w:p>
        </w:tc>
        <w:tc>
          <w:tcPr>
            <w:tcW w:w="2127" w:type="dxa"/>
            <w:hideMark/>
          </w:tcPr>
          <w:p w:rsidR="001A1DFD" w:rsidRPr="001A1DFD" w:rsidRDefault="001A1DFD" w:rsidP="001A1DFD">
            <w:r w:rsidRPr="001A1DFD">
              <w:t>7 Days</w:t>
            </w:r>
          </w:p>
        </w:tc>
        <w:tc>
          <w:tcPr>
            <w:tcW w:w="1961" w:type="dxa"/>
            <w:hideMark/>
          </w:tcPr>
          <w:p w:rsidR="001A1DFD" w:rsidRPr="001A1DFD" w:rsidRDefault="001A1DFD" w:rsidP="001A1DFD">
            <w:r w:rsidRPr="001A1DFD">
              <w:t>&gt; 7 Days</w:t>
            </w:r>
          </w:p>
        </w:tc>
        <w:tc>
          <w:tcPr>
            <w:tcW w:w="2190" w:type="dxa"/>
            <w:hideMark/>
          </w:tcPr>
          <w:p w:rsidR="001A1DFD" w:rsidRPr="001A1DFD" w:rsidRDefault="001A1DFD" w:rsidP="001A1DFD">
            <w:r w:rsidRPr="001A1DFD">
              <w:t>6 hours, 24 hours if Traumatic placement</w:t>
            </w:r>
          </w:p>
        </w:tc>
      </w:tr>
      <w:tr w:rsidR="001A1DFD" w:rsidRPr="001A1DFD" w:rsidTr="00B95FAE">
        <w:trPr>
          <w:trHeight w:val="252"/>
        </w:trPr>
        <w:tc>
          <w:tcPr>
            <w:tcW w:w="1900" w:type="dxa"/>
            <w:hideMark/>
          </w:tcPr>
          <w:p w:rsidR="001A1DFD" w:rsidRPr="001A1DFD" w:rsidRDefault="001A1DFD">
            <w:r w:rsidRPr="001A1DFD">
              <w:t>DABIGATRAN</w:t>
            </w:r>
          </w:p>
        </w:tc>
        <w:tc>
          <w:tcPr>
            <w:tcW w:w="2557" w:type="dxa"/>
            <w:hideMark/>
          </w:tcPr>
          <w:p w:rsidR="001A1DFD" w:rsidRPr="001A1DFD" w:rsidRDefault="001A1DFD">
            <w:r w:rsidRPr="001A1DFD">
              <w:t>PRADAXA</w:t>
            </w:r>
          </w:p>
        </w:tc>
        <w:tc>
          <w:tcPr>
            <w:tcW w:w="2127" w:type="dxa"/>
            <w:hideMark/>
          </w:tcPr>
          <w:p w:rsidR="001A1DFD" w:rsidRPr="001A1DFD" w:rsidRDefault="001A1DFD" w:rsidP="001A1DFD">
            <w:r w:rsidRPr="001A1DFD">
              <w:t>4 days (CrCL &gt;50)      7days (CrCl &lt;50)</w:t>
            </w:r>
          </w:p>
        </w:tc>
        <w:tc>
          <w:tcPr>
            <w:tcW w:w="1961" w:type="dxa"/>
            <w:hideMark/>
          </w:tcPr>
          <w:p w:rsidR="001A1DFD" w:rsidRPr="001A1DFD" w:rsidRDefault="001A1DFD" w:rsidP="001A1DFD">
            <w:r w:rsidRPr="001A1DFD">
              <w:t>at least 48 Hours</w:t>
            </w:r>
          </w:p>
        </w:tc>
        <w:tc>
          <w:tcPr>
            <w:tcW w:w="2190" w:type="dxa"/>
            <w:hideMark/>
          </w:tcPr>
          <w:p w:rsidR="001A1DFD" w:rsidRPr="001A1DFD" w:rsidRDefault="001A1DFD" w:rsidP="001A1DFD">
            <w:r w:rsidRPr="001A1DFD">
              <w:t>24 Hours</w:t>
            </w:r>
          </w:p>
        </w:tc>
      </w:tr>
      <w:tr w:rsidR="001A1DFD" w:rsidRPr="001A1DFD" w:rsidTr="00B95FAE">
        <w:trPr>
          <w:trHeight w:val="424"/>
        </w:trPr>
        <w:tc>
          <w:tcPr>
            <w:tcW w:w="1900" w:type="dxa"/>
            <w:hideMark/>
          </w:tcPr>
          <w:p w:rsidR="001A1DFD" w:rsidRPr="001A1DFD" w:rsidRDefault="001A1DFD">
            <w:r w:rsidRPr="001A1DFD">
              <w:t>DALTEPARIN (Therapeutic)</w:t>
            </w:r>
          </w:p>
        </w:tc>
        <w:tc>
          <w:tcPr>
            <w:tcW w:w="2557" w:type="dxa"/>
            <w:hideMark/>
          </w:tcPr>
          <w:p w:rsidR="001A1DFD" w:rsidRPr="001A1DFD" w:rsidRDefault="001A1DFD">
            <w:r w:rsidRPr="001A1DFD">
              <w:t>FRAGMIN (5000 units BID or 120 units/kg BID or 175 units/kg QD)</w:t>
            </w:r>
          </w:p>
        </w:tc>
        <w:tc>
          <w:tcPr>
            <w:tcW w:w="2127" w:type="dxa"/>
            <w:hideMark/>
          </w:tcPr>
          <w:p w:rsidR="001A1DFD" w:rsidRPr="001A1DFD" w:rsidRDefault="001A1DFD" w:rsidP="001A1DFD">
            <w:r w:rsidRPr="001A1DFD">
              <w:t xml:space="preserve"> 24 Hours</w:t>
            </w:r>
          </w:p>
        </w:tc>
        <w:tc>
          <w:tcPr>
            <w:tcW w:w="1961" w:type="dxa"/>
            <w:hideMark/>
          </w:tcPr>
          <w:p w:rsidR="001A1DFD" w:rsidRPr="001A1DFD" w:rsidRDefault="001A1DFD" w:rsidP="001A1DFD">
            <w:r w:rsidRPr="001A1DFD">
              <w:t>24 Hours</w:t>
            </w:r>
          </w:p>
        </w:tc>
        <w:tc>
          <w:tcPr>
            <w:tcW w:w="2190" w:type="dxa"/>
            <w:hideMark/>
          </w:tcPr>
          <w:p w:rsidR="001A1DFD" w:rsidRPr="001A1DFD" w:rsidRDefault="001A1DFD" w:rsidP="001A1DFD">
            <w:r w:rsidRPr="001A1DFD">
              <w:t>4 Hours</w:t>
            </w:r>
          </w:p>
        </w:tc>
      </w:tr>
      <w:tr w:rsidR="001A1DFD" w:rsidRPr="001A1DFD" w:rsidTr="00B95FAE">
        <w:trPr>
          <w:trHeight w:val="293"/>
        </w:trPr>
        <w:tc>
          <w:tcPr>
            <w:tcW w:w="1900" w:type="dxa"/>
            <w:hideMark/>
          </w:tcPr>
          <w:p w:rsidR="001A1DFD" w:rsidRPr="001A1DFD" w:rsidRDefault="001A1DFD">
            <w:r w:rsidRPr="001A1DFD">
              <w:t>DALTEPARIN (prophylactic)</w:t>
            </w:r>
          </w:p>
        </w:tc>
        <w:tc>
          <w:tcPr>
            <w:tcW w:w="2557" w:type="dxa"/>
            <w:hideMark/>
          </w:tcPr>
          <w:p w:rsidR="001A1DFD" w:rsidRPr="001A1DFD" w:rsidRDefault="001A1DFD">
            <w:r w:rsidRPr="001A1DFD">
              <w:t>FRAGMIN (&lt;/= 5000 units QD)</w:t>
            </w:r>
          </w:p>
        </w:tc>
        <w:tc>
          <w:tcPr>
            <w:tcW w:w="2127" w:type="dxa"/>
            <w:hideMark/>
          </w:tcPr>
          <w:p w:rsidR="001A1DFD" w:rsidRPr="001A1DFD" w:rsidRDefault="001A1DFD" w:rsidP="001A1DFD">
            <w:r w:rsidRPr="001A1DFD">
              <w:t>12 Hours</w:t>
            </w:r>
          </w:p>
        </w:tc>
        <w:tc>
          <w:tcPr>
            <w:tcW w:w="1961" w:type="dxa"/>
            <w:hideMark/>
          </w:tcPr>
          <w:p w:rsidR="001A1DFD" w:rsidRPr="001A1DFD" w:rsidRDefault="001A1DFD" w:rsidP="001A1DFD">
            <w:r w:rsidRPr="001A1DFD">
              <w:t>12 Hours</w:t>
            </w:r>
          </w:p>
        </w:tc>
        <w:tc>
          <w:tcPr>
            <w:tcW w:w="2190" w:type="dxa"/>
            <w:hideMark/>
          </w:tcPr>
          <w:p w:rsidR="001A1DFD" w:rsidRPr="001A1DFD" w:rsidRDefault="001A1DFD" w:rsidP="001A1DFD">
            <w:r w:rsidRPr="001A1DFD">
              <w:t>4 Hours</w:t>
            </w:r>
          </w:p>
        </w:tc>
      </w:tr>
      <w:tr w:rsidR="001A1DFD" w:rsidRPr="001A1DFD" w:rsidTr="00B95FAE">
        <w:trPr>
          <w:trHeight w:val="444"/>
        </w:trPr>
        <w:tc>
          <w:tcPr>
            <w:tcW w:w="10736" w:type="dxa"/>
            <w:gridSpan w:val="5"/>
            <w:hideMark/>
          </w:tcPr>
          <w:p w:rsidR="001A1DFD" w:rsidRPr="001A1DFD" w:rsidRDefault="001A1DFD">
            <w:pPr>
              <w:rPr>
                <w:i/>
                <w:iCs/>
              </w:rPr>
            </w:pPr>
            <w:r w:rsidRPr="001A1DFD">
              <w:rPr>
                <w:i/>
                <w:iCs/>
              </w:rPr>
              <w:t>Note:  LOW MOLECULAR WEIGHT HEPARIN:  Prophylactic dosing may be started 6-8 hours postoperatively.  Therapeutic dosing or BID dosing should be started at least 24 hours postoperatively.   Epidural catheters should be removed prior to initiation of therapy.</w:t>
            </w:r>
          </w:p>
        </w:tc>
      </w:tr>
      <w:tr w:rsidR="001A1DFD" w:rsidRPr="001A1DFD" w:rsidTr="00B95FAE">
        <w:trPr>
          <w:trHeight w:val="252"/>
        </w:trPr>
        <w:tc>
          <w:tcPr>
            <w:tcW w:w="1900" w:type="dxa"/>
            <w:hideMark/>
          </w:tcPr>
          <w:p w:rsidR="001A1DFD" w:rsidRPr="001A1DFD" w:rsidRDefault="001A1DFD">
            <w:r w:rsidRPr="001A1DFD">
              <w:t>DESIRUDIN</w:t>
            </w:r>
          </w:p>
        </w:tc>
        <w:tc>
          <w:tcPr>
            <w:tcW w:w="2557" w:type="dxa"/>
            <w:hideMark/>
          </w:tcPr>
          <w:p w:rsidR="001A1DFD" w:rsidRPr="001A1DFD" w:rsidRDefault="001A1DFD">
            <w:r w:rsidRPr="001A1DFD">
              <w:t>REVASC</w:t>
            </w:r>
          </w:p>
        </w:tc>
        <w:tc>
          <w:tcPr>
            <w:tcW w:w="4088" w:type="dxa"/>
            <w:gridSpan w:val="2"/>
            <w:hideMark/>
          </w:tcPr>
          <w:p w:rsidR="001A1DFD" w:rsidRPr="001A1DFD" w:rsidRDefault="001A1DFD">
            <w:r w:rsidRPr="001A1DFD">
              <w:t>Uncertain, probably unwise to perform neuraxial block, check ACT</w:t>
            </w:r>
          </w:p>
        </w:tc>
        <w:tc>
          <w:tcPr>
            <w:tcW w:w="2190" w:type="dxa"/>
            <w:hideMark/>
          </w:tcPr>
          <w:p w:rsidR="001A1DFD" w:rsidRPr="001A1DFD" w:rsidRDefault="001A1DFD" w:rsidP="001A1DFD">
            <w:r w:rsidRPr="001A1DFD">
              <w:t>2 Hours</w:t>
            </w:r>
          </w:p>
        </w:tc>
      </w:tr>
      <w:tr w:rsidR="001A1DFD" w:rsidRPr="001A1DFD" w:rsidTr="00B95FAE">
        <w:trPr>
          <w:trHeight w:val="465"/>
        </w:trPr>
        <w:tc>
          <w:tcPr>
            <w:tcW w:w="1900" w:type="dxa"/>
            <w:hideMark/>
          </w:tcPr>
          <w:p w:rsidR="001A1DFD" w:rsidRPr="001A1DFD" w:rsidRDefault="001A1DFD">
            <w:r w:rsidRPr="001A1DFD">
              <w:t>ENOXAPARIN (Therapeutic)</w:t>
            </w:r>
          </w:p>
        </w:tc>
        <w:tc>
          <w:tcPr>
            <w:tcW w:w="2557" w:type="dxa"/>
            <w:hideMark/>
          </w:tcPr>
          <w:p w:rsidR="001A1DFD" w:rsidRPr="001A1DFD" w:rsidRDefault="001A1DFD">
            <w:r w:rsidRPr="001A1DFD">
              <w:t xml:space="preserve">LOVENOX   (&gt; 60 mg QD or 1mg/kg BID or 1.5mg/kg QD) </w:t>
            </w:r>
          </w:p>
        </w:tc>
        <w:tc>
          <w:tcPr>
            <w:tcW w:w="2127" w:type="dxa"/>
            <w:hideMark/>
          </w:tcPr>
          <w:p w:rsidR="001A1DFD" w:rsidRPr="001A1DFD" w:rsidRDefault="001A1DFD" w:rsidP="001A1DFD">
            <w:r w:rsidRPr="001A1DFD">
              <w:t xml:space="preserve"> 24 Hours</w:t>
            </w:r>
          </w:p>
        </w:tc>
        <w:tc>
          <w:tcPr>
            <w:tcW w:w="1961" w:type="dxa"/>
            <w:hideMark/>
          </w:tcPr>
          <w:p w:rsidR="001A1DFD" w:rsidRPr="001A1DFD" w:rsidRDefault="001A1DFD" w:rsidP="001A1DFD">
            <w:r w:rsidRPr="001A1DFD">
              <w:t>24 Hours</w:t>
            </w:r>
          </w:p>
        </w:tc>
        <w:tc>
          <w:tcPr>
            <w:tcW w:w="2190" w:type="dxa"/>
            <w:hideMark/>
          </w:tcPr>
          <w:p w:rsidR="001A1DFD" w:rsidRPr="001A1DFD" w:rsidRDefault="001A1DFD" w:rsidP="001A1DFD">
            <w:r w:rsidRPr="001A1DFD">
              <w:t>4 Hours</w:t>
            </w:r>
          </w:p>
        </w:tc>
      </w:tr>
      <w:tr w:rsidR="001A1DFD" w:rsidRPr="001A1DFD" w:rsidTr="00B95FAE">
        <w:trPr>
          <w:trHeight w:val="252"/>
        </w:trPr>
        <w:tc>
          <w:tcPr>
            <w:tcW w:w="1900" w:type="dxa"/>
            <w:hideMark/>
          </w:tcPr>
          <w:p w:rsidR="001A1DFD" w:rsidRPr="001A1DFD" w:rsidRDefault="001A1DFD">
            <w:r w:rsidRPr="001A1DFD">
              <w:t>ENOXAPARIN (prophylactic)</w:t>
            </w:r>
          </w:p>
        </w:tc>
        <w:tc>
          <w:tcPr>
            <w:tcW w:w="2557" w:type="dxa"/>
            <w:hideMark/>
          </w:tcPr>
          <w:p w:rsidR="001A1DFD" w:rsidRPr="001A1DFD" w:rsidRDefault="001A1DFD">
            <w:r w:rsidRPr="001A1DFD">
              <w:t xml:space="preserve">LOVENOX   (&lt;/= 60 mg QD) </w:t>
            </w:r>
          </w:p>
        </w:tc>
        <w:tc>
          <w:tcPr>
            <w:tcW w:w="2127" w:type="dxa"/>
            <w:hideMark/>
          </w:tcPr>
          <w:p w:rsidR="001A1DFD" w:rsidRPr="001A1DFD" w:rsidRDefault="001A1DFD" w:rsidP="001A1DFD">
            <w:r w:rsidRPr="001A1DFD">
              <w:t>12 Hours</w:t>
            </w:r>
          </w:p>
        </w:tc>
        <w:tc>
          <w:tcPr>
            <w:tcW w:w="1961" w:type="dxa"/>
            <w:hideMark/>
          </w:tcPr>
          <w:p w:rsidR="001A1DFD" w:rsidRPr="001A1DFD" w:rsidRDefault="001A1DFD" w:rsidP="001A1DFD">
            <w:r w:rsidRPr="001A1DFD">
              <w:t>12 Hours</w:t>
            </w:r>
          </w:p>
        </w:tc>
        <w:tc>
          <w:tcPr>
            <w:tcW w:w="2190" w:type="dxa"/>
            <w:hideMark/>
          </w:tcPr>
          <w:p w:rsidR="001A1DFD" w:rsidRPr="001A1DFD" w:rsidRDefault="001A1DFD" w:rsidP="001A1DFD">
            <w:r w:rsidRPr="001A1DFD">
              <w:t>4 Hours</w:t>
            </w:r>
          </w:p>
        </w:tc>
      </w:tr>
      <w:tr w:rsidR="001A1DFD" w:rsidRPr="001A1DFD" w:rsidTr="00B95FAE">
        <w:trPr>
          <w:trHeight w:val="424"/>
        </w:trPr>
        <w:tc>
          <w:tcPr>
            <w:tcW w:w="10736" w:type="dxa"/>
            <w:gridSpan w:val="5"/>
            <w:hideMark/>
          </w:tcPr>
          <w:p w:rsidR="001A1DFD" w:rsidRPr="001A1DFD" w:rsidRDefault="001A1DFD">
            <w:pPr>
              <w:rPr>
                <w:i/>
                <w:iCs/>
              </w:rPr>
            </w:pPr>
            <w:r w:rsidRPr="001A1DFD">
              <w:rPr>
                <w:i/>
                <w:iCs/>
              </w:rPr>
              <w:t>Note:  LOW MOLECULAR WEIGHT HEPARIN:  Prophylactic dosing may be started 6-8 hours postoperatively.  Therapeutic dosing or BID dosing should be started at least 24 hours postoperatively.   Epidural catheters should be removed prior to initiation of therapy.</w:t>
            </w:r>
          </w:p>
        </w:tc>
      </w:tr>
      <w:tr w:rsidR="001A1DFD" w:rsidRPr="001A1DFD" w:rsidTr="00B95FAE">
        <w:trPr>
          <w:trHeight w:val="262"/>
        </w:trPr>
        <w:tc>
          <w:tcPr>
            <w:tcW w:w="1900" w:type="dxa"/>
            <w:hideMark/>
          </w:tcPr>
          <w:p w:rsidR="001A1DFD" w:rsidRPr="001A1DFD" w:rsidRDefault="001A1DFD">
            <w:r w:rsidRPr="001A1DFD">
              <w:t xml:space="preserve">EPTIFIBATIDE  </w:t>
            </w:r>
          </w:p>
        </w:tc>
        <w:tc>
          <w:tcPr>
            <w:tcW w:w="2557" w:type="dxa"/>
            <w:hideMark/>
          </w:tcPr>
          <w:p w:rsidR="001A1DFD" w:rsidRPr="001A1DFD" w:rsidRDefault="001A1DFD">
            <w:r w:rsidRPr="001A1DFD">
              <w:t>INTEGRILIN</w:t>
            </w:r>
          </w:p>
        </w:tc>
        <w:tc>
          <w:tcPr>
            <w:tcW w:w="2127" w:type="dxa"/>
            <w:hideMark/>
          </w:tcPr>
          <w:p w:rsidR="001A1DFD" w:rsidRPr="001A1DFD" w:rsidRDefault="001A1DFD" w:rsidP="001A1DFD">
            <w:r w:rsidRPr="001A1DFD">
              <w:t>8 Hours</w:t>
            </w:r>
          </w:p>
        </w:tc>
        <w:tc>
          <w:tcPr>
            <w:tcW w:w="1961" w:type="dxa"/>
            <w:hideMark/>
          </w:tcPr>
          <w:p w:rsidR="001A1DFD" w:rsidRPr="001A1DFD" w:rsidRDefault="001A1DFD" w:rsidP="001A1DFD">
            <w:r w:rsidRPr="001A1DFD">
              <w:t>8 Hours</w:t>
            </w:r>
          </w:p>
        </w:tc>
        <w:tc>
          <w:tcPr>
            <w:tcW w:w="2190" w:type="dxa"/>
            <w:hideMark/>
          </w:tcPr>
          <w:p w:rsidR="001A1DFD" w:rsidRPr="001A1DFD" w:rsidRDefault="001A1DFD" w:rsidP="001A1DFD">
            <w:r w:rsidRPr="001A1DFD">
              <w:t>24 Hours</w:t>
            </w:r>
          </w:p>
        </w:tc>
      </w:tr>
      <w:tr w:rsidR="001A1DFD" w:rsidRPr="001A1DFD" w:rsidTr="00B95FAE">
        <w:trPr>
          <w:trHeight w:val="262"/>
        </w:trPr>
        <w:tc>
          <w:tcPr>
            <w:tcW w:w="1900" w:type="dxa"/>
            <w:hideMark/>
          </w:tcPr>
          <w:p w:rsidR="001A1DFD" w:rsidRPr="001A1DFD" w:rsidRDefault="001A1DFD">
            <w:r w:rsidRPr="001A1DFD">
              <w:t xml:space="preserve">FONDAPARINUX </w:t>
            </w:r>
            <w:r w:rsidRPr="001A1DFD">
              <w:rPr>
                <w:i/>
                <w:iCs/>
              </w:rPr>
              <w:t>(See Note)</w:t>
            </w:r>
          </w:p>
        </w:tc>
        <w:tc>
          <w:tcPr>
            <w:tcW w:w="2557" w:type="dxa"/>
            <w:hideMark/>
          </w:tcPr>
          <w:p w:rsidR="001A1DFD" w:rsidRPr="001A1DFD" w:rsidRDefault="001A1DFD">
            <w:r w:rsidRPr="001A1DFD">
              <w:t>ARIXTRA  (2.5 mg)</w:t>
            </w:r>
          </w:p>
        </w:tc>
        <w:tc>
          <w:tcPr>
            <w:tcW w:w="2127" w:type="dxa"/>
            <w:hideMark/>
          </w:tcPr>
          <w:p w:rsidR="001A1DFD" w:rsidRPr="001A1DFD" w:rsidRDefault="001A1DFD" w:rsidP="001A1DFD">
            <w:r w:rsidRPr="001A1DFD">
              <w:t>4 Days</w:t>
            </w:r>
          </w:p>
        </w:tc>
        <w:tc>
          <w:tcPr>
            <w:tcW w:w="1961" w:type="dxa"/>
            <w:hideMark/>
          </w:tcPr>
          <w:p w:rsidR="001A1DFD" w:rsidRPr="001A1DFD" w:rsidRDefault="001A1DFD" w:rsidP="001A1DFD">
            <w:r w:rsidRPr="001A1DFD">
              <w:t>4 Days</w:t>
            </w:r>
          </w:p>
        </w:tc>
        <w:tc>
          <w:tcPr>
            <w:tcW w:w="2190" w:type="dxa"/>
            <w:hideMark/>
          </w:tcPr>
          <w:p w:rsidR="001A1DFD" w:rsidRPr="001A1DFD" w:rsidRDefault="001A1DFD" w:rsidP="001A1DFD">
            <w:r w:rsidRPr="001A1DFD">
              <w:t>2 Hours</w:t>
            </w:r>
          </w:p>
        </w:tc>
      </w:tr>
      <w:tr w:rsidR="001A1DFD" w:rsidRPr="001A1DFD" w:rsidTr="00B95FAE">
        <w:trPr>
          <w:trHeight w:val="262"/>
        </w:trPr>
        <w:tc>
          <w:tcPr>
            <w:tcW w:w="1900" w:type="dxa"/>
            <w:hideMark/>
          </w:tcPr>
          <w:p w:rsidR="001A1DFD" w:rsidRPr="001A1DFD" w:rsidRDefault="001A1DFD">
            <w:r w:rsidRPr="001A1DFD">
              <w:t xml:space="preserve">FONDAPARINUX </w:t>
            </w:r>
            <w:r w:rsidRPr="001A1DFD">
              <w:rPr>
                <w:i/>
                <w:iCs/>
              </w:rPr>
              <w:t>(See Note)</w:t>
            </w:r>
          </w:p>
        </w:tc>
        <w:tc>
          <w:tcPr>
            <w:tcW w:w="2557" w:type="dxa"/>
            <w:hideMark/>
          </w:tcPr>
          <w:p w:rsidR="001A1DFD" w:rsidRPr="001A1DFD" w:rsidRDefault="001A1DFD">
            <w:r w:rsidRPr="001A1DFD">
              <w:t>ARIXTRA  (5 mg, 7.5 mg, 10 mg)</w:t>
            </w:r>
          </w:p>
        </w:tc>
        <w:tc>
          <w:tcPr>
            <w:tcW w:w="2127" w:type="dxa"/>
            <w:hideMark/>
          </w:tcPr>
          <w:p w:rsidR="001A1DFD" w:rsidRPr="001A1DFD" w:rsidRDefault="001A1DFD" w:rsidP="001A1DFD">
            <w:r w:rsidRPr="001A1DFD">
              <w:t>7 Days</w:t>
            </w:r>
          </w:p>
        </w:tc>
        <w:tc>
          <w:tcPr>
            <w:tcW w:w="1961" w:type="dxa"/>
            <w:hideMark/>
          </w:tcPr>
          <w:p w:rsidR="001A1DFD" w:rsidRPr="001A1DFD" w:rsidRDefault="001A1DFD" w:rsidP="001A1DFD">
            <w:r w:rsidRPr="001A1DFD">
              <w:t>&gt;4 Days/monitor</w:t>
            </w:r>
          </w:p>
        </w:tc>
        <w:tc>
          <w:tcPr>
            <w:tcW w:w="2190" w:type="dxa"/>
            <w:hideMark/>
          </w:tcPr>
          <w:p w:rsidR="001A1DFD" w:rsidRPr="001A1DFD" w:rsidRDefault="001A1DFD" w:rsidP="001A1DFD">
            <w:r w:rsidRPr="001A1DFD">
              <w:t>24 Hours</w:t>
            </w:r>
          </w:p>
        </w:tc>
      </w:tr>
      <w:tr w:rsidR="001A1DFD" w:rsidRPr="001A1DFD" w:rsidTr="00B95FAE">
        <w:trPr>
          <w:trHeight w:val="323"/>
        </w:trPr>
        <w:tc>
          <w:tcPr>
            <w:tcW w:w="10736" w:type="dxa"/>
            <w:gridSpan w:val="5"/>
            <w:hideMark/>
          </w:tcPr>
          <w:p w:rsidR="001A1DFD" w:rsidRPr="001A1DFD" w:rsidRDefault="001A1DFD">
            <w:pPr>
              <w:rPr>
                <w:i/>
                <w:iCs/>
              </w:rPr>
            </w:pPr>
            <w:r w:rsidRPr="001A1DFD">
              <w:rPr>
                <w:i/>
                <w:iCs/>
              </w:rPr>
              <w:t xml:space="preserve">Note:  FONDAPARINUX should </w:t>
            </w:r>
            <w:r w:rsidRPr="001A1DFD">
              <w:rPr>
                <w:i/>
                <w:iCs/>
                <w:u w:val="single"/>
              </w:rPr>
              <w:t>not</w:t>
            </w:r>
            <w:r w:rsidRPr="001A1DFD">
              <w:rPr>
                <w:i/>
                <w:iCs/>
              </w:rPr>
              <w:t xml:space="preserve"> be given if regional anesthesia is anticipated or has been used.  If, however, FONDAPARINUX is given, the above guidelines are suggested.</w:t>
            </w:r>
          </w:p>
        </w:tc>
      </w:tr>
      <w:tr w:rsidR="001A1DFD" w:rsidRPr="001A1DFD" w:rsidTr="00B95FAE">
        <w:trPr>
          <w:trHeight w:val="252"/>
        </w:trPr>
        <w:tc>
          <w:tcPr>
            <w:tcW w:w="1900" w:type="dxa"/>
            <w:hideMark/>
          </w:tcPr>
          <w:p w:rsidR="001A1DFD" w:rsidRPr="001A1DFD" w:rsidRDefault="001A1DFD">
            <w:r w:rsidRPr="001A1DFD">
              <w:t>HEPARIN  SC BID</w:t>
            </w:r>
          </w:p>
        </w:tc>
        <w:tc>
          <w:tcPr>
            <w:tcW w:w="2557" w:type="dxa"/>
            <w:hideMark/>
          </w:tcPr>
          <w:p w:rsidR="001A1DFD" w:rsidRPr="001A1DFD" w:rsidRDefault="001A1DFD">
            <w:r w:rsidRPr="001A1DFD">
              <w:t>HEPARIN</w:t>
            </w:r>
          </w:p>
        </w:tc>
        <w:tc>
          <w:tcPr>
            <w:tcW w:w="6278" w:type="dxa"/>
            <w:gridSpan w:val="3"/>
            <w:hideMark/>
          </w:tcPr>
          <w:p w:rsidR="001A1DFD" w:rsidRPr="001A1DFD" w:rsidRDefault="001A1DFD">
            <w:r w:rsidRPr="001A1DFD">
              <w:t xml:space="preserve">No Significant Risk at dose of 5000 units bid  </w:t>
            </w:r>
          </w:p>
        </w:tc>
      </w:tr>
      <w:tr w:rsidR="001A1DFD" w:rsidRPr="001A1DFD" w:rsidTr="00B95FAE">
        <w:trPr>
          <w:trHeight w:val="252"/>
        </w:trPr>
        <w:tc>
          <w:tcPr>
            <w:tcW w:w="1900" w:type="dxa"/>
            <w:hideMark/>
          </w:tcPr>
          <w:p w:rsidR="001A1DFD" w:rsidRPr="001A1DFD" w:rsidRDefault="001A1DFD">
            <w:r w:rsidRPr="001A1DFD">
              <w:t>HEPARIN  SC TID</w:t>
            </w:r>
          </w:p>
        </w:tc>
        <w:tc>
          <w:tcPr>
            <w:tcW w:w="2557" w:type="dxa"/>
            <w:hideMark/>
          </w:tcPr>
          <w:p w:rsidR="001A1DFD" w:rsidRPr="001A1DFD" w:rsidRDefault="001A1DFD">
            <w:r w:rsidRPr="001A1DFD">
              <w:t>HEPARIN</w:t>
            </w:r>
          </w:p>
        </w:tc>
        <w:tc>
          <w:tcPr>
            <w:tcW w:w="6278" w:type="dxa"/>
            <w:gridSpan w:val="3"/>
            <w:hideMark/>
          </w:tcPr>
          <w:p w:rsidR="001A1DFD" w:rsidRPr="001A1DFD" w:rsidRDefault="001A1DFD">
            <w:r w:rsidRPr="001A1DFD">
              <w:t>Unknown risk at 5000 units TID: Suggest check PTT.  10,000 units TID: check PTT</w:t>
            </w:r>
          </w:p>
        </w:tc>
      </w:tr>
      <w:tr w:rsidR="001A1DFD" w:rsidRPr="001A1DFD" w:rsidTr="00B95FAE">
        <w:trPr>
          <w:trHeight w:val="252"/>
        </w:trPr>
        <w:tc>
          <w:tcPr>
            <w:tcW w:w="1900" w:type="dxa"/>
            <w:hideMark/>
          </w:tcPr>
          <w:p w:rsidR="001A1DFD" w:rsidRPr="001A1DFD" w:rsidRDefault="001A1DFD">
            <w:r w:rsidRPr="001A1DFD">
              <w:t>HEPARIN IV</w:t>
            </w:r>
          </w:p>
        </w:tc>
        <w:tc>
          <w:tcPr>
            <w:tcW w:w="2557" w:type="dxa"/>
            <w:hideMark/>
          </w:tcPr>
          <w:p w:rsidR="001A1DFD" w:rsidRPr="001A1DFD" w:rsidRDefault="001A1DFD">
            <w:r w:rsidRPr="001A1DFD">
              <w:t>HEPARIN</w:t>
            </w:r>
          </w:p>
        </w:tc>
        <w:tc>
          <w:tcPr>
            <w:tcW w:w="2127" w:type="dxa"/>
            <w:hideMark/>
          </w:tcPr>
          <w:p w:rsidR="001A1DFD" w:rsidRPr="001A1DFD" w:rsidRDefault="001A1DFD" w:rsidP="001A1DFD">
            <w:r w:rsidRPr="001A1DFD">
              <w:t>2-4 Hours, PTT &lt; 35</w:t>
            </w:r>
          </w:p>
        </w:tc>
        <w:tc>
          <w:tcPr>
            <w:tcW w:w="1961" w:type="dxa"/>
            <w:hideMark/>
          </w:tcPr>
          <w:p w:rsidR="001A1DFD" w:rsidRPr="001A1DFD" w:rsidRDefault="001A1DFD" w:rsidP="001A1DFD">
            <w:r w:rsidRPr="001A1DFD">
              <w:t>2-4 Hours, PTT &lt; 35</w:t>
            </w:r>
          </w:p>
        </w:tc>
        <w:tc>
          <w:tcPr>
            <w:tcW w:w="2190" w:type="dxa"/>
            <w:hideMark/>
          </w:tcPr>
          <w:p w:rsidR="001A1DFD" w:rsidRPr="001A1DFD" w:rsidRDefault="001A1DFD" w:rsidP="001A1DFD">
            <w:r w:rsidRPr="001A1DFD">
              <w:t>2 Hours</w:t>
            </w:r>
          </w:p>
        </w:tc>
      </w:tr>
      <w:tr w:rsidR="001A1DFD" w:rsidRPr="001A1DFD" w:rsidTr="00B95FAE">
        <w:trPr>
          <w:trHeight w:val="252"/>
        </w:trPr>
        <w:tc>
          <w:tcPr>
            <w:tcW w:w="1900" w:type="dxa"/>
            <w:hideMark/>
          </w:tcPr>
          <w:p w:rsidR="001A1DFD" w:rsidRPr="001A1DFD" w:rsidRDefault="001A1DFD">
            <w:r w:rsidRPr="001A1DFD">
              <w:t>NSAID, ASA</w:t>
            </w:r>
          </w:p>
        </w:tc>
        <w:tc>
          <w:tcPr>
            <w:tcW w:w="2557" w:type="dxa"/>
            <w:hideMark/>
          </w:tcPr>
          <w:p w:rsidR="001A1DFD" w:rsidRPr="001A1DFD" w:rsidRDefault="001A1DFD">
            <w:r w:rsidRPr="001A1DFD">
              <w:t>CELEBREX, MOTRIN, NAPROSYN, etc</w:t>
            </w:r>
          </w:p>
        </w:tc>
        <w:tc>
          <w:tcPr>
            <w:tcW w:w="6278" w:type="dxa"/>
            <w:gridSpan w:val="3"/>
            <w:hideMark/>
          </w:tcPr>
          <w:p w:rsidR="001A1DFD" w:rsidRPr="001A1DFD" w:rsidRDefault="001A1DFD">
            <w:r w:rsidRPr="001A1DFD">
              <w:t>No Significant Risk</w:t>
            </w:r>
          </w:p>
        </w:tc>
      </w:tr>
      <w:tr w:rsidR="001A1DFD" w:rsidRPr="001A1DFD" w:rsidTr="00B95FAE">
        <w:trPr>
          <w:trHeight w:val="455"/>
        </w:trPr>
        <w:tc>
          <w:tcPr>
            <w:tcW w:w="1900" w:type="dxa"/>
            <w:hideMark/>
          </w:tcPr>
          <w:p w:rsidR="001A1DFD" w:rsidRPr="001A1DFD" w:rsidRDefault="001A1DFD">
            <w:r w:rsidRPr="001A1DFD">
              <w:t>RIVAROXABAN</w:t>
            </w:r>
          </w:p>
        </w:tc>
        <w:tc>
          <w:tcPr>
            <w:tcW w:w="2557" w:type="dxa"/>
            <w:hideMark/>
          </w:tcPr>
          <w:p w:rsidR="001A1DFD" w:rsidRPr="001A1DFD" w:rsidRDefault="001A1DFD">
            <w:r w:rsidRPr="001A1DFD">
              <w:t>XARELTO</w:t>
            </w:r>
          </w:p>
        </w:tc>
        <w:tc>
          <w:tcPr>
            <w:tcW w:w="2127" w:type="dxa"/>
            <w:hideMark/>
          </w:tcPr>
          <w:p w:rsidR="001A1DFD" w:rsidRPr="001A1DFD" w:rsidRDefault="001A1DFD" w:rsidP="001A1DFD">
            <w:r w:rsidRPr="001A1DFD">
              <w:t>2 days (CrCl &gt; 50); 3 days (CrCl &lt;50)</w:t>
            </w:r>
          </w:p>
        </w:tc>
        <w:tc>
          <w:tcPr>
            <w:tcW w:w="1961" w:type="dxa"/>
            <w:hideMark/>
          </w:tcPr>
          <w:p w:rsidR="001A1DFD" w:rsidRPr="001A1DFD" w:rsidRDefault="001A1DFD" w:rsidP="001A1DFD">
            <w:r w:rsidRPr="001A1DFD">
              <w:t xml:space="preserve">48 Hours </w:t>
            </w:r>
          </w:p>
        </w:tc>
        <w:tc>
          <w:tcPr>
            <w:tcW w:w="2190" w:type="dxa"/>
            <w:hideMark/>
          </w:tcPr>
          <w:p w:rsidR="001A1DFD" w:rsidRPr="001A1DFD" w:rsidRDefault="001A1DFD" w:rsidP="001A1DFD">
            <w:r w:rsidRPr="001A1DFD">
              <w:t>6 hours, 24 hours if Traumatic placement</w:t>
            </w:r>
          </w:p>
        </w:tc>
      </w:tr>
      <w:tr w:rsidR="001A1DFD" w:rsidRPr="001A1DFD" w:rsidTr="00B95FAE">
        <w:trPr>
          <w:trHeight w:val="424"/>
        </w:trPr>
        <w:tc>
          <w:tcPr>
            <w:tcW w:w="1900" w:type="dxa"/>
            <w:hideMark/>
          </w:tcPr>
          <w:p w:rsidR="001A1DFD" w:rsidRPr="001A1DFD" w:rsidRDefault="001A1DFD">
            <w:r w:rsidRPr="001A1DFD">
              <w:t>PRASUGREL</w:t>
            </w:r>
          </w:p>
        </w:tc>
        <w:tc>
          <w:tcPr>
            <w:tcW w:w="2557" w:type="dxa"/>
            <w:hideMark/>
          </w:tcPr>
          <w:p w:rsidR="001A1DFD" w:rsidRPr="001A1DFD" w:rsidRDefault="001A1DFD">
            <w:r w:rsidRPr="001A1DFD">
              <w:t>EFFIENT</w:t>
            </w:r>
          </w:p>
        </w:tc>
        <w:tc>
          <w:tcPr>
            <w:tcW w:w="2127" w:type="dxa"/>
            <w:hideMark/>
          </w:tcPr>
          <w:p w:rsidR="001A1DFD" w:rsidRPr="001A1DFD" w:rsidRDefault="001A1DFD">
            <w:r w:rsidRPr="001A1DFD">
              <w:t>Not recommended; consult cardiology. Wait 5 days after termination of therapy</w:t>
            </w:r>
          </w:p>
        </w:tc>
        <w:tc>
          <w:tcPr>
            <w:tcW w:w="1961" w:type="dxa"/>
            <w:hideMark/>
          </w:tcPr>
          <w:p w:rsidR="001A1DFD" w:rsidRPr="001A1DFD" w:rsidRDefault="001A1DFD" w:rsidP="001A1DFD">
            <w:r w:rsidRPr="001A1DFD">
              <w:t>10 Days</w:t>
            </w:r>
          </w:p>
        </w:tc>
        <w:tc>
          <w:tcPr>
            <w:tcW w:w="2190" w:type="dxa"/>
            <w:hideMark/>
          </w:tcPr>
          <w:p w:rsidR="001A1DFD" w:rsidRPr="001A1DFD" w:rsidRDefault="001A1DFD" w:rsidP="001A1DFD">
            <w:r w:rsidRPr="001A1DFD">
              <w:t>24 Hours</w:t>
            </w:r>
          </w:p>
        </w:tc>
      </w:tr>
      <w:tr w:rsidR="001A1DFD" w:rsidRPr="001A1DFD" w:rsidTr="00B95FAE">
        <w:trPr>
          <w:trHeight w:val="252"/>
        </w:trPr>
        <w:tc>
          <w:tcPr>
            <w:tcW w:w="1900" w:type="dxa"/>
            <w:hideMark/>
          </w:tcPr>
          <w:p w:rsidR="001A1DFD" w:rsidRPr="001A1DFD" w:rsidRDefault="001A1DFD">
            <w:r w:rsidRPr="001A1DFD">
              <w:lastRenderedPageBreak/>
              <w:t>STREPTOKINASE</w:t>
            </w:r>
          </w:p>
        </w:tc>
        <w:tc>
          <w:tcPr>
            <w:tcW w:w="2557" w:type="dxa"/>
            <w:hideMark/>
          </w:tcPr>
          <w:p w:rsidR="001A1DFD" w:rsidRPr="001A1DFD" w:rsidRDefault="001A1DFD">
            <w:r w:rsidRPr="001A1DFD">
              <w:t>STREPTASE</w:t>
            </w:r>
          </w:p>
        </w:tc>
        <w:tc>
          <w:tcPr>
            <w:tcW w:w="2127" w:type="dxa"/>
            <w:hideMark/>
          </w:tcPr>
          <w:p w:rsidR="001A1DFD" w:rsidRPr="001A1DFD" w:rsidRDefault="001A1DFD" w:rsidP="001A1DFD">
            <w:r w:rsidRPr="001A1DFD">
              <w:t>10 Days</w:t>
            </w:r>
          </w:p>
        </w:tc>
        <w:tc>
          <w:tcPr>
            <w:tcW w:w="1961" w:type="dxa"/>
            <w:hideMark/>
          </w:tcPr>
          <w:p w:rsidR="001A1DFD" w:rsidRPr="001A1DFD" w:rsidRDefault="001A1DFD" w:rsidP="001A1DFD">
            <w:r w:rsidRPr="001A1DFD">
              <w:t>10 Days</w:t>
            </w:r>
          </w:p>
        </w:tc>
        <w:tc>
          <w:tcPr>
            <w:tcW w:w="2190" w:type="dxa"/>
            <w:hideMark/>
          </w:tcPr>
          <w:p w:rsidR="001A1DFD" w:rsidRPr="001A1DFD" w:rsidRDefault="001A1DFD" w:rsidP="001A1DFD">
            <w:r w:rsidRPr="001A1DFD">
              <w:t>10 Days</w:t>
            </w:r>
          </w:p>
        </w:tc>
      </w:tr>
      <w:tr w:rsidR="001A1DFD" w:rsidRPr="001A1DFD" w:rsidTr="00B95FAE">
        <w:trPr>
          <w:trHeight w:val="414"/>
        </w:trPr>
        <w:tc>
          <w:tcPr>
            <w:tcW w:w="1900" w:type="dxa"/>
            <w:hideMark/>
          </w:tcPr>
          <w:p w:rsidR="001A1DFD" w:rsidRPr="001A1DFD" w:rsidRDefault="001A1DFD">
            <w:r w:rsidRPr="001A1DFD">
              <w:t>TICAGRELOR</w:t>
            </w:r>
          </w:p>
        </w:tc>
        <w:tc>
          <w:tcPr>
            <w:tcW w:w="2557" w:type="dxa"/>
            <w:hideMark/>
          </w:tcPr>
          <w:p w:rsidR="001A1DFD" w:rsidRPr="001A1DFD" w:rsidRDefault="001A1DFD">
            <w:r w:rsidRPr="001A1DFD">
              <w:t>BRILANTA</w:t>
            </w:r>
          </w:p>
        </w:tc>
        <w:tc>
          <w:tcPr>
            <w:tcW w:w="2127" w:type="dxa"/>
            <w:hideMark/>
          </w:tcPr>
          <w:p w:rsidR="001A1DFD" w:rsidRPr="001A1DFD" w:rsidRDefault="001A1DFD">
            <w:r w:rsidRPr="001A1DFD">
              <w:t>Not recommended; consult cardiology. Wait 5 days after termination of therapy.</w:t>
            </w:r>
          </w:p>
        </w:tc>
        <w:tc>
          <w:tcPr>
            <w:tcW w:w="1961" w:type="dxa"/>
            <w:hideMark/>
          </w:tcPr>
          <w:p w:rsidR="001A1DFD" w:rsidRPr="001A1DFD" w:rsidRDefault="001A1DFD" w:rsidP="001A1DFD">
            <w:r w:rsidRPr="001A1DFD">
              <w:t>Uncertain. Wait 5 days.</w:t>
            </w:r>
          </w:p>
        </w:tc>
        <w:tc>
          <w:tcPr>
            <w:tcW w:w="2190" w:type="dxa"/>
            <w:hideMark/>
          </w:tcPr>
          <w:p w:rsidR="001A1DFD" w:rsidRPr="001A1DFD" w:rsidRDefault="001A1DFD" w:rsidP="001A1DFD">
            <w:r w:rsidRPr="001A1DFD">
              <w:t>24 Hours</w:t>
            </w:r>
          </w:p>
        </w:tc>
      </w:tr>
      <w:tr w:rsidR="001A1DFD" w:rsidRPr="001A1DFD" w:rsidTr="00B95FAE">
        <w:trPr>
          <w:trHeight w:val="252"/>
        </w:trPr>
        <w:tc>
          <w:tcPr>
            <w:tcW w:w="1900" w:type="dxa"/>
            <w:hideMark/>
          </w:tcPr>
          <w:p w:rsidR="001A1DFD" w:rsidRPr="001A1DFD" w:rsidRDefault="001A1DFD">
            <w:r w:rsidRPr="001A1DFD">
              <w:t>TICLOPIDINE</w:t>
            </w:r>
          </w:p>
        </w:tc>
        <w:tc>
          <w:tcPr>
            <w:tcW w:w="2557" w:type="dxa"/>
            <w:hideMark/>
          </w:tcPr>
          <w:p w:rsidR="001A1DFD" w:rsidRPr="001A1DFD" w:rsidRDefault="001A1DFD">
            <w:r w:rsidRPr="001A1DFD">
              <w:t>TICLID</w:t>
            </w:r>
          </w:p>
        </w:tc>
        <w:tc>
          <w:tcPr>
            <w:tcW w:w="2127" w:type="dxa"/>
            <w:hideMark/>
          </w:tcPr>
          <w:p w:rsidR="001A1DFD" w:rsidRPr="001A1DFD" w:rsidRDefault="001A1DFD" w:rsidP="001A1DFD">
            <w:r w:rsidRPr="001A1DFD">
              <w:t>14 Days</w:t>
            </w:r>
          </w:p>
        </w:tc>
        <w:tc>
          <w:tcPr>
            <w:tcW w:w="1961" w:type="dxa"/>
            <w:hideMark/>
          </w:tcPr>
          <w:p w:rsidR="001A1DFD" w:rsidRPr="001A1DFD" w:rsidRDefault="001A1DFD" w:rsidP="001A1DFD">
            <w:r w:rsidRPr="001A1DFD">
              <w:t>14 Days</w:t>
            </w:r>
          </w:p>
        </w:tc>
        <w:tc>
          <w:tcPr>
            <w:tcW w:w="2190" w:type="dxa"/>
            <w:hideMark/>
          </w:tcPr>
          <w:p w:rsidR="001A1DFD" w:rsidRPr="001A1DFD" w:rsidRDefault="001A1DFD" w:rsidP="001A1DFD">
            <w:r w:rsidRPr="001A1DFD">
              <w:t>24 Hours</w:t>
            </w:r>
          </w:p>
        </w:tc>
      </w:tr>
      <w:tr w:rsidR="001A1DFD" w:rsidRPr="001A1DFD" w:rsidTr="00B95FAE">
        <w:trPr>
          <w:trHeight w:val="252"/>
        </w:trPr>
        <w:tc>
          <w:tcPr>
            <w:tcW w:w="1900" w:type="dxa"/>
            <w:hideMark/>
          </w:tcPr>
          <w:p w:rsidR="001A1DFD" w:rsidRPr="001A1DFD" w:rsidRDefault="001A1DFD">
            <w:r w:rsidRPr="001A1DFD">
              <w:t xml:space="preserve">TIROFIBAN  </w:t>
            </w:r>
          </w:p>
        </w:tc>
        <w:tc>
          <w:tcPr>
            <w:tcW w:w="2557" w:type="dxa"/>
            <w:hideMark/>
          </w:tcPr>
          <w:p w:rsidR="001A1DFD" w:rsidRPr="001A1DFD" w:rsidRDefault="001A1DFD">
            <w:r w:rsidRPr="001A1DFD">
              <w:t>AGGRASTAT</w:t>
            </w:r>
          </w:p>
        </w:tc>
        <w:tc>
          <w:tcPr>
            <w:tcW w:w="2127" w:type="dxa"/>
            <w:hideMark/>
          </w:tcPr>
          <w:p w:rsidR="001A1DFD" w:rsidRPr="001A1DFD" w:rsidRDefault="001A1DFD" w:rsidP="001A1DFD">
            <w:r w:rsidRPr="001A1DFD">
              <w:t>8 Hours</w:t>
            </w:r>
          </w:p>
        </w:tc>
        <w:tc>
          <w:tcPr>
            <w:tcW w:w="1961" w:type="dxa"/>
            <w:hideMark/>
          </w:tcPr>
          <w:p w:rsidR="001A1DFD" w:rsidRPr="001A1DFD" w:rsidRDefault="001A1DFD" w:rsidP="001A1DFD">
            <w:r w:rsidRPr="001A1DFD">
              <w:t>8 Hours</w:t>
            </w:r>
          </w:p>
        </w:tc>
        <w:tc>
          <w:tcPr>
            <w:tcW w:w="2190" w:type="dxa"/>
            <w:hideMark/>
          </w:tcPr>
          <w:p w:rsidR="001A1DFD" w:rsidRPr="001A1DFD" w:rsidRDefault="001A1DFD" w:rsidP="001A1DFD">
            <w:r w:rsidRPr="001A1DFD">
              <w:t>24 Hours</w:t>
            </w:r>
          </w:p>
        </w:tc>
      </w:tr>
      <w:tr w:rsidR="001A1DFD" w:rsidRPr="001A1DFD" w:rsidTr="00B95FAE">
        <w:trPr>
          <w:trHeight w:val="252"/>
        </w:trPr>
        <w:tc>
          <w:tcPr>
            <w:tcW w:w="1900" w:type="dxa"/>
            <w:hideMark/>
          </w:tcPr>
          <w:p w:rsidR="001A1DFD" w:rsidRPr="001A1DFD" w:rsidRDefault="001A1DFD">
            <w:r w:rsidRPr="001A1DFD">
              <w:t xml:space="preserve">WARFARIN  </w:t>
            </w:r>
          </w:p>
        </w:tc>
        <w:tc>
          <w:tcPr>
            <w:tcW w:w="2557" w:type="dxa"/>
            <w:hideMark/>
          </w:tcPr>
          <w:p w:rsidR="001A1DFD" w:rsidRPr="001A1DFD" w:rsidRDefault="001A1DFD">
            <w:r w:rsidRPr="001A1DFD">
              <w:t>COUMADIN</w:t>
            </w:r>
          </w:p>
        </w:tc>
        <w:tc>
          <w:tcPr>
            <w:tcW w:w="2127" w:type="dxa"/>
            <w:hideMark/>
          </w:tcPr>
          <w:p w:rsidR="001A1DFD" w:rsidRPr="001A1DFD" w:rsidRDefault="001A1DFD" w:rsidP="001A1DFD">
            <w:r w:rsidRPr="001A1DFD">
              <w:t>3-5 Days,    INR &lt;/= 1.5</w:t>
            </w:r>
          </w:p>
        </w:tc>
        <w:tc>
          <w:tcPr>
            <w:tcW w:w="1961" w:type="dxa"/>
            <w:hideMark/>
          </w:tcPr>
          <w:p w:rsidR="001A1DFD" w:rsidRPr="001A1DFD" w:rsidRDefault="001A1DFD" w:rsidP="001A1DFD">
            <w:r w:rsidRPr="001A1DFD">
              <w:t>If &gt; 24 Hours,  check INR&lt; /= 1.5</w:t>
            </w:r>
          </w:p>
        </w:tc>
        <w:tc>
          <w:tcPr>
            <w:tcW w:w="2190" w:type="dxa"/>
            <w:hideMark/>
          </w:tcPr>
          <w:p w:rsidR="001A1DFD" w:rsidRPr="001A1DFD" w:rsidRDefault="001A1DFD" w:rsidP="001A1DFD">
            <w:r w:rsidRPr="001A1DFD">
              <w:t>Same Day</w:t>
            </w:r>
          </w:p>
        </w:tc>
      </w:tr>
    </w:tbl>
    <w:p w:rsidR="004538C9" w:rsidRDefault="004538C9"/>
    <w:sectPr w:rsidR="004538C9" w:rsidSect="00523433">
      <w:headerReference w:type="default" r:id="rId10"/>
      <w:footerReference w:type="default" r:id="rId11"/>
      <w:pgSz w:w="12240" w:h="15840"/>
      <w:pgMar w:top="720" w:right="720" w:bottom="720" w:left="72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87A" w:rsidRDefault="0018587A" w:rsidP="009567CF">
      <w:pPr>
        <w:spacing w:after="0" w:line="240" w:lineRule="auto"/>
      </w:pPr>
      <w:r>
        <w:separator/>
      </w:r>
    </w:p>
  </w:endnote>
  <w:endnote w:type="continuationSeparator" w:id="0">
    <w:p w:rsidR="0018587A" w:rsidRDefault="0018587A" w:rsidP="00956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787690"/>
      <w:docPartObj>
        <w:docPartGallery w:val="Page Numbers (Bottom of Page)"/>
        <w:docPartUnique/>
      </w:docPartObj>
    </w:sdtPr>
    <w:sdtContent>
      <w:p w:rsidR="003243E5" w:rsidRDefault="00DE05E4">
        <w:pPr>
          <w:pStyle w:val="Footer"/>
          <w:jc w:val="right"/>
        </w:pPr>
        <w:r>
          <w:fldChar w:fldCharType="begin"/>
        </w:r>
        <w:r w:rsidR="0020245A">
          <w:instrText xml:space="preserve"> PAGE   \* MERGEFORMAT </w:instrText>
        </w:r>
        <w:r>
          <w:fldChar w:fldCharType="separate"/>
        </w:r>
        <w:r w:rsidR="0054637B">
          <w:rPr>
            <w:noProof/>
          </w:rPr>
          <w:t>2</w:t>
        </w:r>
        <w:r>
          <w:rPr>
            <w:noProof/>
          </w:rPr>
          <w:fldChar w:fldCharType="end"/>
        </w:r>
      </w:p>
    </w:sdtContent>
  </w:sdt>
  <w:p w:rsidR="003243E5" w:rsidRDefault="00324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87A" w:rsidRDefault="0018587A" w:rsidP="009567CF">
      <w:pPr>
        <w:spacing w:after="0" w:line="240" w:lineRule="auto"/>
      </w:pPr>
      <w:r>
        <w:separator/>
      </w:r>
    </w:p>
  </w:footnote>
  <w:footnote w:type="continuationSeparator" w:id="0">
    <w:p w:rsidR="0018587A" w:rsidRDefault="0018587A" w:rsidP="009567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CF" w:rsidRDefault="009567CF">
    <w:pPr>
      <w:pStyle w:val="Header"/>
    </w:pPr>
    <w:r w:rsidRPr="009567CF">
      <w:rPr>
        <w:noProof/>
      </w:rPr>
      <w:drawing>
        <wp:inline distT="0" distB="0" distL="0" distR="0">
          <wp:extent cx="1869893" cy="601345"/>
          <wp:effectExtent l="0" t="0" r="0" b="8255"/>
          <wp:docPr id="2" name="Picture 6" descr="Image result for mass general hospital heart cen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mass general hospital heart center letterhea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882132" cy="60528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2194"/>
    <w:multiLevelType w:val="hybridMultilevel"/>
    <w:tmpl w:val="AD029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73C02"/>
    <w:multiLevelType w:val="hybridMultilevel"/>
    <w:tmpl w:val="A5CE7F84"/>
    <w:lvl w:ilvl="0" w:tplc="E69466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30C06"/>
    <w:multiLevelType w:val="hybridMultilevel"/>
    <w:tmpl w:val="E0C223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0526F5"/>
    <w:multiLevelType w:val="hybridMultilevel"/>
    <w:tmpl w:val="719024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2329B9"/>
    <w:multiLevelType w:val="hybridMultilevel"/>
    <w:tmpl w:val="8BBADF4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nsid w:val="58980EA3"/>
    <w:multiLevelType w:val="hybridMultilevel"/>
    <w:tmpl w:val="61627FF4"/>
    <w:lvl w:ilvl="0" w:tplc="E694661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3546AD"/>
    <w:multiLevelType w:val="hybridMultilevel"/>
    <w:tmpl w:val="0F208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40D6F"/>
    <w:multiLevelType w:val="hybridMultilevel"/>
    <w:tmpl w:val="00040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5E27C4"/>
    <w:multiLevelType w:val="hybridMultilevel"/>
    <w:tmpl w:val="A4D8A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83C1F0D"/>
    <w:multiLevelType w:val="hybridMultilevel"/>
    <w:tmpl w:val="E7E49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D86C9F"/>
    <w:multiLevelType w:val="hybridMultilevel"/>
    <w:tmpl w:val="5038C3D0"/>
    <w:lvl w:ilvl="0" w:tplc="80A26612">
      <w:start w:val="1"/>
      <w:numFmt w:val="decimal"/>
      <w:lvlText w:val="%1."/>
      <w:lvlJc w:val="left"/>
      <w:pPr>
        <w:ind w:left="720" w:hanging="360"/>
      </w:pPr>
      <w:rPr>
        <w:rFonts w:ascii="Arial" w:hAnsi="Arial" w:cs="Arial"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F26DA"/>
    <w:multiLevelType w:val="hybridMultilevel"/>
    <w:tmpl w:val="6114B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0"/>
  </w:num>
  <w:num w:numId="4">
    <w:abstractNumId w:val="2"/>
  </w:num>
  <w:num w:numId="5">
    <w:abstractNumId w:val="8"/>
  </w:num>
  <w:num w:numId="6">
    <w:abstractNumId w:val="3"/>
  </w:num>
  <w:num w:numId="7">
    <w:abstractNumId w:val="7"/>
  </w:num>
  <w:num w:numId="8">
    <w:abstractNumId w:val="4"/>
  </w:num>
  <w:num w:numId="9">
    <w:abstractNumId w:val="1"/>
  </w:num>
  <w:num w:numId="10">
    <w:abstractNumId w:val="5"/>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B6B6A"/>
    <w:rsid w:val="00045AA0"/>
    <w:rsid w:val="000523E0"/>
    <w:rsid w:val="00084400"/>
    <w:rsid w:val="000B37B4"/>
    <w:rsid w:val="000C1B6A"/>
    <w:rsid w:val="000D3B28"/>
    <w:rsid w:val="000D4468"/>
    <w:rsid w:val="000E313E"/>
    <w:rsid w:val="000F40B6"/>
    <w:rsid w:val="001453D6"/>
    <w:rsid w:val="00182701"/>
    <w:rsid w:val="0018587A"/>
    <w:rsid w:val="001A1DFD"/>
    <w:rsid w:val="001E4376"/>
    <w:rsid w:val="001E7145"/>
    <w:rsid w:val="0020245A"/>
    <w:rsid w:val="00217700"/>
    <w:rsid w:val="00256D9B"/>
    <w:rsid w:val="00262C8C"/>
    <w:rsid w:val="002B7994"/>
    <w:rsid w:val="002C0ED0"/>
    <w:rsid w:val="002C55E5"/>
    <w:rsid w:val="002E0C8E"/>
    <w:rsid w:val="002E66D3"/>
    <w:rsid w:val="002F6BC9"/>
    <w:rsid w:val="003243E5"/>
    <w:rsid w:val="00340200"/>
    <w:rsid w:val="00366B5A"/>
    <w:rsid w:val="003B53F7"/>
    <w:rsid w:val="003D51B0"/>
    <w:rsid w:val="00423769"/>
    <w:rsid w:val="004538C9"/>
    <w:rsid w:val="00473E0D"/>
    <w:rsid w:val="004E0FFC"/>
    <w:rsid w:val="004F0563"/>
    <w:rsid w:val="00523433"/>
    <w:rsid w:val="00536E7B"/>
    <w:rsid w:val="0054637B"/>
    <w:rsid w:val="005675C6"/>
    <w:rsid w:val="00581D0C"/>
    <w:rsid w:val="00582FBE"/>
    <w:rsid w:val="00584D26"/>
    <w:rsid w:val="005D1FA1"/>
    <w:rsid w:val="00607B04"/>
    <w:rsid w:val="00637D1B"/>
    <w:rsid w:val="006459B8"/>
    <w:rsid w:val="00721B3C"/>
    <w:rsid w:val="0072555E"/>
    <w:rsid w:val="00782FED"/>
    <w:rsid w:val="00804A8E"/>
    <w:rsid w:val="00804D48"/>
    <w:rsid w:val="00855924"/>
    <w:rsid w:val="008A2ACF"/>
    <w:rsid w:val="008D19B6"/>
    <w:rsid w:val="008F3E29"/>
    <w:rsid w:val="00941353"/>
    <w:rsid w:val="009567CF"/>
    <w:rsid w:val="0096699A"/>
    <w:rsid w:val="009B57DB"/>
    <w:rsid w:val="009C04F6"/>
    <w:rsid w:val="009E22BC"/>
    <w:rsid w:val="00A32CB6"/>
    <w:rsid w:val="00A4287C"/>
    <w:rsid w:val="00A56CA2"/>
    <w:rsid w:val="00AD0C30"/>
    <w:rsid w:val="00AD114B"/>
    <w:rsid w:val="00AE52C9"/>
    <w:rsid w:val="00AF64DA"/>
    <w:rsid w:val="00B1324B"/>
    <w:rsid w:val="00B84D5F"/>
    <w:rsid w:val="00B86A3B"/>
    <w:rsid w:val="00B90618"/>
    <w:rsid w:val="00B95FAE"/>
    <w:rsid w:val="00BC7C9B"/>
    <w:rsid w:val="00BF17FE"/>
    <w:rsid w:val="00C25C0B"/>
    <w:rsid w:val="00C345B0"/>
    <w:rsid w:val="00C708FC"/>
    <w:rsid w:val="00C95832"/>
    <w:rsid w:val="00CD0E2E"/>
    <w:rsid w:val="00CD3F7C"/>
    <w:rsid w:val="00CF0742"/>
    <w:rsid w:val="00D04C93"/>
    <w:rsid w:val="00D04D46"/>
    <w:rsid w:val="00D948FC"/>
    <w:rsid w:val="00DB6B6A"/>
    <w:rsid w:val="00DE05E4"/>
    <w:rsid w:val="00E06CCD"/>
    <w:rsid w:val="00E76BA2"/>
    <w:rsid w:val="00E96249"/>
    <w:rsid w:val="00EB0D85"/>
    <w:rsid w:val="00EF4838"/>
    <w:rsid w:val="00EF6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6BC9"/>
    <w:pPr>
      <w:ind w:left="720"/>
      <w:contextualSpacing/>
    </w:pPr>
  </w:style>
  <w:style w:type="paragraph" w:styleId="BalloonText">
    <w:name w:val="Balloon Text"/>
    <w:basedOn w:val="Normal"/>
    <w:link w:val="BalloonTextChar"/>
    <w:uiPriority w:val="99"/>
    <w:semiHidden/>
    <w:unhideWhenUsed/>
    <w:rsid w:val="00725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55E"/>
    <w:rPr>
      <w:rFonts w:ascii="Tahoma" w:hAnsi="Tahoma" w:cs="Tahoma"/>
      <w:sz w:val="16"/>
      <w:szCs w:val="16"/>
    </w:rPr>
  </w:style>
  <w:style w:type="paragraph" w:customStyle="1" w:styleId="fulltext-references">
    <w:name w:val="fulltext-references"/>
    <w:basedOn w:val="Normal"/>
    <w:rsid w:val="002C0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C0ED0"/>
  </w:style>
  <w:style w:type="character" w:styleId="Hyperlink">
    <w:name w:val="Hyperlink"/>
    <w:basedOn w:val="DefaultParagraphFont"/>
    <w:uiPriority w:val="99"/>
    <w:semiHidden/>
    <w:unhideWhenUsed/>
    <w:rsid w:val="002C0ED0"/>
    <w:rPr>
      <w:color w:val="0000FF"/>
      <w:u w:val="single"/>
    </w:rPr>
  </w:style>
  <w:style w:type="paragraph" w:customStyle="1" w:styleId="Body">
    <w:name w:val="Body"/>
    <w:rsid w:val="009567CF"/>
    <w:pPr>
      <w:pBdr>
        <w:top w:val="nil"/>
        <w:left w:val="nil"/>
        <w:bottom w:val="nil"/>
        <w:right w:val="nil"/>
        <w:between w:val="nil"/>
        <w:bar w:val="nil"/>
      </w:pBdr>
    </w:pPr>
    <w:rPr>
      <w:rFonts w:ascii="Calibri" w:eastAsia="Calibri" w:hAnsi="Calibri" w:cs="Calibri"/>
      <w:color w:val="000000"/>
      <w:u w:color="000000"/>
      <w:bdr w:val="nil"/>
    </w:rPr>
  </w:style>
  <w:style w:type="paragraph" w:styleId="Header">
    <w:name w:val="header"/>
    <w:basedOn w:val="Normal"/>
    <w:link w:val="HeaderChar"/>
    <w:uiPriority w:val="99"/>
    <w:unhideWhenUsed/>
    <w:rsid w:val="00956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7CF"/>
  </w:style>
  <w:style w:type="paragraph" w:styleId="Footer">
    <w:name w:val="footer"/>
    <w:basedOn w:val="Normal"/>
    <w:link w:val="FooterChar"/>
    <w:uiPriority w:val="99"/>
    <w:unhideWhenUsed/>
    <w:rsid w:val="0095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7CF"/>
  </w:style>
</w:styles>
</file>

<file path=word/webSettings.xml><?xml version="1.0" encoding="utf-8"?>
<w:webSettings xmlns:r="http://schemas.openxmlformats.org/officeDocument/2006/relationships" xmlns:w="http://schemas.openxmlformats.org/wordprocessingml/2006/main">
  <w:divs>
    <w:div w:id="137766825">
      <w:bodyDiv w:val="1"/>
      <w:marLeft w:val="0"/>
      <w:marRight w:val="0"/>
      <w:marTop w:val="0"/>
      <w:marBottom w:val="0"/>
      <w:divBdr>
        <w:top w:val="none" w:sz="0" w:space="0" w:color="auto"/>
        <w:left w:val="none" w:sz="0" w:space="0" w:color="auto"/>
        <w:bottom w:val="none" w:sz="0" w:space="0" w:color="auto"/>
        <w:right w:val="none" w:sz="0" w:space="0" w:color="auto"/>
      </w:divBdr>
    </w:div>
    <w:div w:id="322508107">
      <w:bodyDiv w:val="1"/>
      <w:marLeft w:val="0"/>
      <w:marRight w:val="0"/>
      <w:marTop w:val="0"/>
      <w:marBottom w:val="0"/>
      <w:divBdr>
        <w:top w:val="none" w:sz="0" w:space="0" w:color="auto"/>
        <w:left w:val="none" w:sz="0" w:space="0" w:color="auto"/>
        <w:bottom w:val="none" w:sz="0" w:space="0" w:color="auto"/>
        <w:right w:val="none" w:sz="0" w:space="0" w:color="auto"/>
      </w:divBdr>
    </w:div>
    <w:div w:id="762839854">
      <w:bodyDiv w:val="1"/>
      <w:marLeft w:val="0"/>
      <w:marRight w:val="0"/>
      <w:marTop w:val="0"/>
      <w:marBottom w:val="0"/>
      <w:divBdr>
        <w:top w:val="none" w:sz="0" w:space="0" w:color="auto"/>
        <w:left w:val="none" w:sz="0" w:space="0" w:color="auto"/>
        <w:bottom w:val="none" w:sz="0" w:space="0" w:color="auto"/>
        <w:right w:val="none" w:sz="0" w:space="0" w:color="auto"/>
      </w:divBdr>
    </w:div>
    <w:div w:id="789011648">
      <w:bodyDiv w:val="1"/>
      <w:marLeft w:val="0"/>
      <w:marRight w:val="0"/>
      <w:marTop w:val="0"/>
      <w:marBottom w:val="0"/>
      <w:divBdr>
        <w:top w:val="none" w:sz="0" w:space="0" w:color="auto"/>
        <w:left w:val="none" w:sz="0" w:space="0" w:color="auto"/>
        <w:bottom w:val="none" w:sz="0" w:space="0" w:color="auto"/>
        <w:right w:val="none" w:sz="0" w:space="0" w:color="auto"/>
      </w:divBdr>
    </w:div>
    <w:div w:id="1021391822">
      <w:bodyDiv w:val="1"/>
      <w:marLeft w:val="0"/>
      <w:marRight w:val="0"/>
      <w:marTop w:val="0"/>
      <w:marBottom w:val="0"/>
      <w:divBdr>
        <w:top w:val="none" w:sz="0" w:space="0" w:color="auto"/>
        <w:left w:val="none" w:sz="0" w:space="0" w:color="auto"/>
        <w:bottom w:val="none" w:sz="0" w:space="0" w:color="auto"/>
        <w:right w:val="none" w:sz="0" w:space="0" w:color="auto"/>
      </w:divBdr>
    </w:div>
    <w:div w:id="1233390048">
      <w:bodyDiv w:val="1"/>
      <w:marLeft w:val="0"/>
      <w:marRight w:val="0"/>
      <w:marTop w:val="0"/>
      <w:marBottom w:val="0"/>
      <w:divBdr>
        <w:top w:val="none" w:sz="0" w:space="0" w:color="auto"/>
        <w:left w:val="none" w:sz="0" w:space="0" w:color="auto"/>
        <w:bottom w:val="none" w:sz="0" w:space="0" w:color="auto"/>
        <w:right w:val="none" w:sz="0" w:space="0" w:color="auto"/>
      </w:divBdr>
    </w:div>
    <w:div w:id="1571228874">
      <w:bodyDiv w:val="1"/>
      <w:marLeft w:val="0"/>
      <w:marRight w:val="0"/>
      <w:marTop w:val="0"/>
      <w:marBottom w:val="0"/>
      <w:divBdr>
        <w:top w:val="none" w:sz="0" w:space="0" w:color="auto"/>
        <w:left w:val="none" w:sz="0" w:space="0" w:color="auto"/>
        <w:bottom w:val="none" w:sz="0" w:space="0" w:color="auto"/>
        <w:right w:val="none" w:sz="0" w:space="0" w:color="auto"/>
      </w:divBdr>
    </w:div>
    <w:div w:id="1646154509">
      <w:bodyDiv w:val="1"/>
      <w:marLeft w:val="0"/>
      <w:marRight w:val="0"/>
      <w:marTop w:val="0"/>
      <w:marBottom w:val="0"/>
      <w:divBdr>
        <w:top w:val="none" w:sz="0" w:space="0" w:color="auto"/>
        <w:left w:val="none" w:sz="0" w:space="0" w:color="auto"/>
        <w:bottom w:val="none" w:sz="0" w:space="0" w:color="auto"/>
        <w:right w:val="none" w:sz="0" w:space="0" w:color="auto"/>
      </w:divBdr>
    </w:div>
    <w:div w:id="16584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6BF9E-00B9-4EAA-A3C0-45571059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Partners Information Systems</cp:lastModifiedBy>
  <cp:revision>3</cp:revision>
  <cp:lastPrinted>2017-03-01T16:42:00Z</cp:lastPrinted>
  <dcterms:created xsi:type="dcterms:W3CDTF">2017-03-02T15:29:00Z</dcterms:created>
  <dcterms:modified xsi:type="dcterms:W3CDTF">2017-03-02T15:34:00Z</dcterms:modified>
</cp:coreProperties>
</file>