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6DF8" w14:textId="77777777" w:rsidR="00D826B5" w:rsidRDefault="00000000">
      <w:pPr>
        <w:rPr>
          <w:b/>
          <w:sz w:val="16"/>
          <w:szCs w:val="16"/>
        </w:rPr>
      </w:pPr>
      <w:r>
        <w:rPr>
          <w:b/>
          <w:sz w:val="16"/>
          <w:szCs w:val="16"/>
        </w:rPr>
        <w:t>Epidural essentials:</w:t>
      </w:r>
    </w:p>
    <w:p w14:paraId="7A007DD6" w14:textId="77777777" w:rsidR="00D826B5" w:rsidRDefault="00000000">
      <w:pPr>
        <w:rPr>
          <w:sz w:val="16"/>
          <w:szCs w:val="16"/>
          <w:u w:val="single"/>
        </w:rPr>
      </w:pPr>
      <w:r>
        <w:rPr>
          <w:sz w:val="16"/>
          <w:szCs w:val="16"/>
          <w:u w:val="single"/>
        </w:rPr>
        <w:t>Abdominal Surgery</w:t>
      </w:r>
    </w:p>
    <w:p w14:paraId="7FE8642A" w14:textId="77777777" w:rsidR="00D826B5" w:rsidRDefault="00000000">
      <w:pPr>
        <w:rPr>
          <w:sz w:val="16"/>
          <w:szCs w:val="16"/>
        </w:rPr>
      </w:pPr>
      <w:r>
        <w:rPr>
          <w:sz w:val="16"/>
          <w:szCs w:val="16"/>
        </w:rPr>
        <w:t>Placed ideally at T9-10</w:t>
      </w:r>
    </w:p>
    <w:p w14:paraId="11578EFB" w14:textId="05382C17" w:rsidR="00D826B5" w:rsidRDefault="00000000">
      <w:pPr>
        <w:rPr>
          <w:sz w:val="16"/>
          <w:szCs w:val="16"/>
        </w:rPr>
      </w:pPr>
      <w:r>
        <w:rPr>
          <w:sz w:val="16"/>
          <w:szCs w:val="16"/>
        </w:rPr>
        <w:t>Standard B1H</w:t>
      </w:r>
      <w:r w:rsidR="007F2920">
        <w:rPr>
          <w:sz w:val="16"/>
          <w:szCs w:val="16"/>
        </w:rPr>
        <w:t>10</w:t>
      </w:r>
      <w:r>
        <w:rPr>
          <w:sz w:val="16"/>
          <w:szCs w:val="16"/>
        </w:rPr>
        <w:t xml:space="preserve"> at 6 mL/</w:t>
      </w:r>
      <w:proofErr w:type="spellStart"/>
      <w:r>
        <w:rPr>
          <w:sz w:val="16"/>
          <w:szCs w:val="16"/>
        </w:rPr>
        <w:t>hr</w:t>
      </w:r>
      <w:proofErr w:type="spellEnd"/>
      <w:r>
        <w:rPr>
          <w:sz w:val="16"/>
          <w:szCs w:val="16"/>
        </w:rPr>
        <w:t xml:space="preserve"> + 2 mL q20 minutes PRN</w:t>
      </w:r>
    </w:p>
    <w:p w14:paraId="6714E010" w14:textId="77777777" w:rsidR="00D826B5" w:rsidRDefault="00000000">
      <w:pPr>
        <w:rPr>
          <w:sz w:val="16"/>
          <w:szCs w:val="16"/>
        </w:rPr>
      </w:pPr>
      <w:r>
        <w:rPr>
          <w:sz w:val="16"/>
          <w:szCs w:val="16"/>
        </w:rPr>
        <w:t>Most will be on ERAS protocol</w:t>
      </w:r>
    </w:p>
    <w:p w14:paraId="26E4BE73" w14:textId="77777777" w:rsidR="00D826B5" w:rsidRDefault="00000000">
      <w:pPr>
        <w:rPr>
          <w:sz w:val="16"/>
          <w:szCs w:val="16"/>
        </w:rPr>
      </w:pPr>
      <w:r>
        <w:rPr>
          <w:sz w:val="16"/>
          <w:szCs w:val="16"/>
        </w:rPr>
        <w:t>Diet advanced quickly</w:t>
      </w:r>
    </w:p>
    <w:p w14:paraId="306B0630" w14:textId="77777777" w:rsidR="00D826B5" w:rsidRDefault="00000000">
      <w:pPr>
        <w:rPr>
          <w:sz w:val="16"/>
          <w:szCs w:val="16"/>
        </w:rPr>
      </w:pPr>
      <w:r>
        <w:rPr>
          <w:sz w:val="16"/>
          <w:szCs w:val="16"/>
        </w:rPr>
        <w:t>Wait until tolerating PO pain meds to pull</w:t>
      </w:r>
    </w:p>
    <w:p w14:paraId="14D9330F" w14:textId="77777777" w:rsidR="00D826B5" w:rsidRDefault="00000000">
      <w:pPr>
        <w:rPr>
          <w:sz w:val="16"/>
          <w:szCs w:val="16"/>
        </w:rPr>
      </w:pPr>
      <w:r>
        <w:rPr>
          <w:sz w:val="16"/>
          <w:szCs w:val="16"/>
        </w:rPr>
        <w:t>Do not bolus catheters if sitting or standing</w:t>
      </w:r>
    </w:p>
    <w:p w14:paraId="6B889532" w14:textId="77777777" w:rsidR="00D826B5" w:rsidRDefault="00000000">
      <w:pPr>
        <w:rPr>
          <w:sz w:val="16"/>
          <w:szCs w:val="16"/>
          <w:u w:val="single"/>
        </w:rPr>
      </w:pPr>
      <w:r>
        <w:rPr>
          <w:sz w:val="16"/>
          <w:szCs w:val="16"/>
          <w:u w:val="single"/>
        </w:rPr>
        <w:t>Thoracic Surgery</w:t>
      </w:r>
    </w:p>
    <w:p w14:paraId="71D09BB1" w14:textId="77777777" w:rsidR="00D826B5" w:rsidRDefault="00000000">
      <w:pPr>
        <w:rPr>
          <w:sz w:val="16"/>
          <w:szCs w:val="16"/>
        </w:rPr>
      </w:pPr>
      <w:r>
        <w:rPr>
          <w:sz w:val="16"/>
          <w:szCs w:val="16"/>
        </w:rPr>
        <w:t>Placed ideally at T6-7</w:t>
      </w:r>
    </w:p>
    <w:p w14:paraId="6AF1D14E" w14:textId="7C2309AD" w:rsidR="00D826B5" w:rsidRDefault="00000000">
      <w:pPr>
        <w:rPr>
          <w:sz w:val="16"/>
          <w:szCs w:val="16"/>
        </w:rPr>
      </w:pPr>
      <w:r>
        <w:rPr>
          <w:sz w:val="16"/>
          <w:szCs w:val="16"/>
        </w:rPr>
        <w:t>Standard B1H</w:t>
      </w:r>
      <w:r w:rsidR="001F7713">
        <w:rPr>
          <w:sz w:val="16"/>
          <w:szCs w:val="16"/>
        </w:rPr>
        <w:t>10</w:t>
      </w:r>
      <w:r>
        <w:rPr>
          <w:sz w:val="16"/>
          <w:szCs w:val="16"/>
        </w:rPr>
        <w:t xml:space="preserve"> at 6 mL/</w:t>
      </w:r>
      <w:proofErr w:type="spellStart"/>
      <w:r>
        <w:rPr>
          <w:sz w:val="16"/>
          <w:szCs w:val="16"/>
        </w:rPr>
        <w:t>hr</w:t>
      </w:r>
      <w:proofErr w:type="spellEnd"/>
      <w:r>
        <w:rPr>
          <w:sz w:val="16"/>
          <w:szCs w:val="16"/>
        </w:rPr>
        <w:t xml:space="preserve"> + 2 mL q20 minutes PRN</w:t>
      </w:r>
    </w:p>
    <w:p w14:paraId="59F78EDA" w14:textId="77777777" w:rsidR="00D826B5" w:rsidRDefault="00000000">
      <w:pPr>
        <w:rPr>
          <w:sz w:val="16"/>
          <w:szCs w:val="16"/>
        </w:rPr>
      </w:pPr>
      <w:r>
        <w:rPr>
          <w:sz w:val="16"/>
          <w:szCs w:val="16"/>
        </w:rPr>
        <w:t>Wait until chest tubes out and tolerating PO pain meds to pull</w:t>
      </w:r>
    </w:p>
    <w:p w14:paraId="0930223B" w14:textId="77777777" w:rsidR="00D826B5" w:rsidRDefault="00000000">
      <w:pPr>
        <w:rPr>
          <w:sz w:val="16"/>
          <w:szCs w:val="16"/>
        </w:rPr>
      </w:pPr>
      <w:r>
        <w:rPr>
          <w:sz w:val="16"/>
          <w:szCs w:val="16"/>
        </w:rPr>
        <w:t>In addition, for esophagectomies must make sure patient is tolerating tube feeds</w:t>
      </w:r>
    </w:p>
    <w:p w14:paraId="169DED87" w14:textId="77777777" w:rsidR="00D826B5" w:rsidRDefault="00000000">
      <w:pPr>
        <w:rPr>
          <w:sz w:val="16"/>
          <w:szCs w:val="16"/>
        </w:rPr>
      </w:pPr>
      <w:r>
        <w:rPr>
          <w:sz w:val="16"/>
          <w:szCs w:val="16"/>
        </w:rPr>
        <w:t>Do not bolus catheters if sitting or standing</w:t>
      </w:r>
    </w:p>
    <w:p w14:paraId="43AE2172" w14:textId="77777777" w:rsidR="00D826B5" w:rsidRDefault="00D826B5">
      <w:pPr>
        <w:pBdr>
          <w:top w:val="nil"/>
          <w:left w:val="nil"/>
          <w:bottom w:val="nil"/>
          <w:right w:val="nil"/>
          <w:between w:val="nil"/>
        </w:pBdr>
        <w:rPr>
          <w:b/>
          <w:color w:val="000000"/>
          <w:sz w:val="16"/>
          <w:szCs w:val="16"/>
        </w:rPr>
      </w:pPr>
    </w:p>
    <w:p w14:paraId="0A45DE3F" w14:textId="77777777" w:rsidR="00D826B5" w:rsidRDefault="00000000">
      <w:pPr>
        <w:pBdr>
          <w:top w:val="nil"/>
          <w:left w:val="nil"/>
          <w:bottom w:val="nil"/>
          <w:right w:val="nil"/>
          <w:between w:val="nil"/>
        </w:pBdr>
        <w:rPr>
          <w:b/>
          <w:color w:val="000000"/>
          <w:sz w:val="16"/>
          <w:szCs w:val="16"/>
        </w:rPr>
      </w:pPr>
      <w:r>
        <w:rPr>
          <w:b/>
          <w:color w:val="000000"/>
          <w:sz w:val="16"/>
          <w:szCs w:val="16"/>
        </w:rPr>
        <w:t>Troubleshooting epidurals/nerve catheters:</w:t>
      </w:r>
    </w:p>
    <w:p w14:paraId="356BC378" w14:textId="77777777" w:rsidR="00D826B5" w:rsidRDefault="00000000">
      <w:pPr>
        <w:pBdr>
          <w:top w:val="nil"/>
          <w:left w:val="nil"/>
          <w:bottom w:val="nil"/>
          <w:right w:val="nil"/>
          <w:between w:val="nil"/>
        </w:pBdr>
        <w:rPr>
          <w:color w:val="000000"/>
          <w:sz w:val="16"/>
          <w:szCs w:val="16"/>
          <w:u w:val="single"/>
        </w:rPr>
      </w:pPr>
      <w:r>
        <w:rPr>
          <w:color w:val="000000"/>
          <w:sz w:val="16"/>
          <w:szCs w:val="16"/>
          <w:u w:val="single"/>
        </w:rPr>
        <w:t>Pain</w:t>
      </w:r>
    </w:p>
    <w:p w14:paraId="0236AF5C" w14:textId="77777777" w:rsidR="00D826B5" w:rsidRDefault="00000000">
      <w:pPr>
        <w:pBdr>
          <w:top w:val="nil"/>
          <w:left w:val="nil"/>
          <w:bottom w:val="nil"/>
          <w:right w:val="nil"/>
          <w:between w:val="nil"/>
        </w:pBdr>
        <w:rPr>
          <w:color w:val="000000"/>
          <w:sz w:val="16"/>
          <w:szCs w:val="16"/>
        </w:rPr>
      </w:pPr>
      <w:r>
        <w:rPr>
          <w:b/>
          <w:color w:val="000000"/>
          <w:sz w:val="16"/>
          <w:szCs w:val="16"/>
        </w:rPr>
        <w:t>1.</w:t>
      </w:r>
      <w:r>
        <w:rPr>
          <w:color w:val="000000"/>
          <w:sz w:val="16"/>
          <w:szCs w:val="16"/>
        </w:rPr>
        <w:t xml:space="preserve"> Check procedure note in Epic to determine loss of resistance depth and the depth at which the catheter was secured.</w:t>
      </w:r>
    </w:p>
    <w:p w14:paraId="06F20AF5" w14:textId="77777777" w:rsidR="00D826B5" w:rsidRDefault="00000000">
      <w:pPr>
        <w:pBdr>
          <w:top w:val="nil"/>
          <w:left w:val="nil"/>
          <w:bottom w:val="nil"/>
          <w:right w:val="nil"/>
          <w:between w:val="nil"/>
        </w:pBdr>
        <w:rPr>
          <w:color w:val="000000"/>
          <w:sz w:val="16"/>
          <w:szCs w:val="16"/>
        </w:rPr>
      </w:pPr>
      <w:r>
        <w:rPr>
          <w:b/>
          <w:color w:val="000000"/>
          <w:sz w:val="16"/>
          <w:szCs w:val="16"/>
        </w:rPr>
        <w:t>2.</w:t>
      </w:r>
      <w:r>
        <w:rPr>
          <w:color w:val="000000"/>
          <w:sz w:val="16"/>
          <w:szCs w:val="16"/>
        </w:rPr>
        <w:t xml:space="preserve"> Check depth at which catheter is currently secured to ensure that it has not moved or fallen out altogether.</w:t>
      </w:r>
    </w:p>
    <w:p w14:paraId="0E9B04C5" w14:textId="77777777" w:rsidR="00D826B5" w:rsidRDefault="00000000">
      <w:pPr>
        <w:pBdr>
          <w:top w:val="nil"/>
          <w:left w:val="nil"/>
          <w:bottom w:val="nil"/>
          <w:right w:val="nil"/>
          <w:between w:val="nil"/>
        </w:pBdr>
        <w:rPr>
          <w:color w:val="000000"/>
          <w:sz w:val="16"/>
          <w:szCs w:val="16"/>
        </w:rPr>
      </w:pPr>
      <w:r>
        <w:rPr>
          <w:b/>
          <w:color w:val="000000"/>
          <w:sz w:val="16"/>
          <w:szCs w:val="16"/>
        </w:rPr>
        <w:t>3.</w:t>
      </w:r>
      <w:r>
        <w:rPr>
          <w:color w:val="000000"/>
          <w:sz w:val="16"/>
          <w:szCs w:val="16"/>
        </w:rPr>
        <w:t xml:space="preserve"> Follow the catheter from the skin all the way back to the pump to ensure that it has not been disconnected and to make sure that the infusion has actually been running.</w:t>
      </w:r>
    </w:p>
    <w:p w14:paraId="6C12A0AB" w14:textId="77777777" w:rsidR="00D826B5" w:rsidRDefault="00000000">
      <w:pPr>
        <w:pBdr>
          <w:top w:val="nil"/>
          <w:left w:val="nil"/>
          <w:bottom w:val="nil"/>
          <w:right w:val="nil"/>
          <w:between w:val="nil"/>
        </w:pBdr>
        <w:rPr>
          <w:color w:val="000000"/>
          <w:sz w:val="16"/>
          <w:szCs w:val="16"/>
        </w:rPr>
      </w:pPr>
      <w:r>
        <w:rPr>
          <w:b/>
          <w:color w:val="000000"/>
          <w:sz w:val="16"/>
          <w:szCs w:val="16"/>
        </w:rPr>
        <w:t>4.</w:t>
      </w:r>
      <w:r>
        <w:rPr>
          <w:color w:val="000000"/>
          <w:sz w:val="16"/>
          <w:szCs w:val="16"/>
        </w:rPr>
        <w:t xml:space="preserve"> Bolus epidural/nerve catheter if secured at original position.</w:t>
      </w:r>
    </w:p>
    <w:p w14:paraId="21AAAA09" w14:textId="77777777" w:rsidR="00D826B5" w:rsidRDefault="00000000">
      <w:pPr>
        <w:numPr>
          <w:ilvl w:val="0"/>
          <w:numId w:val="2"/>
        </w:numPr>
        <w:pBdr>
          <w:top w:val="nil"/>
          <w:left w:val="nil"/>
          <w:bottom w:val="nil"/>
          <w:right w:val="nil"/>
          <w:between w:val="nil"/>
        </w:pBdr>
        <w:rPr>
          <w:color w:val="000000"/>
          <w:sz w:val="16"/>
          <w:szCs w:val="16"/>
        </w:rPr>
      </w:pPr>
      <w:r>
        <w:rPr>
          <w:color w:val="000000"/>
          <w:sz w:val="16"/>
          <w:szCs w:val="16"/>
        </w:rPr>
        <w:t xml:space="preserve">Bolus with epidural mix or bupivacaine 0.25% (4-6 cc). As a “last resort” you can bolus lidocaine 1% (no more than 3 cc as significant hypotension can occur) to identify if the catheter is working at all. </w:t>
      </w:r>
    </w:p>
    <w:p w14:paraId="2B49D856" w14:textId="77777777" w:rsidR="00D826B5" w:rsidRDefault="00000000">
      <w:pPr>
        <w:numPr>
          <w:ilvl w:val="0"/>
          <w:numId w:val="2"/>
        </w:numPr>
        <w:pBdr>
          <w:top w:val="nil"/>
          <w:left w:val="nil"/>
          <w:bottom w:val="nil"/>
          <w:right w:val="nil"/>
          <w:between w:val="nil"/>
        </w:pBdr>
        <w:rPr>
          <w:color w:val="000000"/>
          <w:sz w:val="16"/>
          <w:szCs w:val="16"/>
        </w:rPr>
      </w:pPr>
      <w:r>
        <w:rPr>
          <w:color w:val="000000"/>
          <w:sz w:val="16"/>
          <w:szCs w:val="16"/>
        </w:rPr>
        <w:t>Remain with and monitor the patient for 10-15 minutes after bolusing an epidural to ensure vital signs remain stable when using anything other than the epidural mix.</w:t>
      </w:r>
    </w:p>
    <w:p w14:paraId="4AFD3681" w14:textId="77777777" w:rsidR="00D826B5" w:rsidRDefault="00000000">
      <w:pPr>
        <w:numPr>
          <w:ilvl w:val="0"/>
          <w:numId w:val="2"/>
        </w:numPr>
        <w:pBdr>
          <w:top w:val="nil"/>
          <w:left w:val="nil"/>
          <w:bottom w:val="nil"/>
          <w:right w:val="nil"/>
          <w:between w:val="nil"/>
        </w:pBdr>
        <w:rPr>
          <w:color w:val="000000"/>
          <w:sz w:val="16"/>
          <w:szCs w:val="16"/>
        </w:rPr>
      </w:pPr>
      <w:r>
        <w:rPr>
          <w:color w:val="000000"/>
          <w:sz w:val="16"/>
          <w:szCs w:val="16"/>
        </w:rPr>
        <w:t>Consider increasing rate or concentration as appropriate (i.e., change B1H10 to B1H20 or B1F2 to B125F4).</w:t>
      </w:r>
    </w:p>
    <w:p w14:paraId="6F20D5D7" w14:textId="77777777" w:rsidR="00D826B5" w:rsidRDefault="00000000">
      <w:pPr>
        <w:numPr>
          <w:ilvl w:val="0"/>
          <w:numId w:val="2"/>
        </w:numPr>
        <w:pBdr>
          <w:top w:val="nil"/>
          <w:left w:val="nil"/>
          <w:bottom w:val="nil"/>
          <w:right w:val="nil"/>
          <w:between w:val="nil"/>
        </w:pBdr>
        <w:rPr>
          <w:color w:val="000000"/>
          <w:sz w:val="16"/>
          <w:szCs w:val="16"/>
        </w:rPr>
      </w:pPr>
      <w:r>
        <w:rPr>
          <w:color w:val="000000"/>
          <w:sz w:val="16"/>
          <w:szCs w:val="16"/>
        </w:rPr>
        <w:t xml:space="preserve">For all peripheral nerve catheters bolus bupivacaine 0.1% 10 cc. </w:t>
      </w:r>
    </w:p>
    <w:p w14:paraId="59B89749" w14:textId="77777777" w:rsidR="00D826B5" w:rsidRDefault="00000000">
      <w:pPr>
        <w:rPr>
          <w:sz w:val="16"/>
          <w:szCs w:val="16"/>
        </w:rPr>
      </w:pPr>
      <w:r>
        <w:rPr>
          <w:b/>
          <w:sz w:val="16"/>
          <w:szCs w:val="16"/>
        </w:rPr>
        <w:t>5.</w:t>
      </w:r>
      <w:r>
        <w:rPr>
          <w:sz w:val="16"/>
          <w:szCs w:val="16"/>
        </w:rPr>
        <w:t xml:space="preserve"> If one sided, pull back the catheter and re-secure at a depth that is 1 cm less than the depth at which it was originally secured. After pulling back, re-bolus as per guidelines above.</w:t>
      </w:r>
    </w:p>
    <w:p w14:paraId="1990A0DE" w14:textId="77777777" w:rsidR="00D826B5" w:rsidRDefault="00000000">
      <w:pPr>
        <w:pBdr>
          <w:top w:val="nil"/>
          <w:left w:val="nil"/>
          <w:bottom w:val="nil"/>
          <w:right w:val="nil"/>
          <w:between w:val="nil"/>
        </w:pBdr>
        <w:rPr>
          <w:color w:val="000000"/>
          <w:sz w:val="16"/>
          <w:szCs w:val="16"/>
        </w:rPr>
      </w:pPr>
      <w:r>
        <w:rPr>
          <w:b/>
          <w:color w:val="000000"/>
          <w:sz w:val="16"/>
          <w:szCs w:val="16"/>
        </w:rPr>
        <w:t>6.</w:t>
      </w:r>
      <w:r>
        <w:rPr>
          <w:color w:val="000000"/>
          <w:sz w:val="16"/>
          <w:szCs w:val="16"/>
        </w:rPr>
        <w:t xml:space="preserve"> Optimize adjuncts. The most common adjuncts used are listed below.</w:t>
      </w:r>
    </w:p>
    <w:p w14:paraId="5C7813DA" w14:textId="77777777" w:rsidR="00D826B5" w:rsidRDefault="00000000">
      <w:pPr>
        <w:numPr>
          <w:ilvl w:val="0"/>
          <w:numId w:val="1"/>
        </w:numPr>
        <w:pBdr>
          <w:top w:val="nil"/>
          <w:left w:val="nil"/>
          <w:bottom w:val="nil"/>
          <w:right w:val="nil"/>
          <w:between w:val="nil"/>
        </w:pBdr>
        <w:rPr>
          <w:color w:val="000000"/>
          <w:sz w:val="16"/>
          <w:szCs w:val="16"/>
        </w:rPr>
      </w:pPr>
      <w:r>
        <w:rPr>
          <w:color w:val="000000"/>
          <w:sz w:val="16"/>
          <w:szCs w:val="16"/>
        </w:rPr>
        <w:t xml:space="preserve">Tylenol 975 mg Q6H standing (Q8H standing if liver dysfunction or age &gt; 65) </w:t>
      </w:r>
    </w:p>
    <w:p w14:paraId="059E7CAC" w14:textId="77777777" w:rsidR="00D826B5" w:rsidRDefault="00000000">
      <w:pPr>
        <w:numPr>
          <w:ilvl w:val="0"/>
          <w:numId w:val="1"/>
        </w:numPr>
        <w:pBdr>
          <w:top w:val="nil"/>
          <w:left w:val="nil"/>
          <w:bottom w:val="nil"/>
          <w:right w:val="nil"/>
          <w:between w:val="nil"/>
        </w:pBdr>
        <w:rPr>
          <w:color w:val="000000"/>
          <w:sz w:val="16"/>
          <w:szCs w:val="16"/>
        </w:rPr>
      </w:pPr>
      <w:r>
        <w:rPr>
          <w:color w:val="000000"/>
          <w:sz w:val="16"/>
          <w:szCs w:val="16"/>
        </w:rPr>
        <w:t>Lidocaine TD patch (Lidoderm) applied to affected area (12 hours on, 12 hours off to minimize risk of LAST)</w:t>
      </w:r>
    </w:p>
    <w:p w14:paraId="2C218A3C" w14:textId="77777777" w:rsidR="00D826B5" w:rsidRDefault="00000000">
      <w:pPr>
        <w:numPr>
          <w:ilvl w:val="0"/>
          <w:numId w:val="1"/>
        </w:numPr>
        <w:pBdr>
          <w:top w:val="nil"/>
          <w:left w:val="nil"/>
          <w:bottom w:val="nil"/>
          <w:right w:val="nil"/>
          <w:between w:val="nil"/>
        </w:pBdr>
        <w:rPr>
          <w:color w:val="000000"/>
          <w:sz w:val="16"/>
          <w:szCs w:val="16"/>
        </w:rPr>
      </w:pPr>
      <w:r>
        <w:rPr>
          <w:color w:val="000000"/>
          <w:sz w:val="16"/>
          <w:szCs w:val="16"/>
        </w:rPr>
        <w:t>Gabapentin 100-300 mg Q8H standing</w:t>
      </w:r>
    </w:p>
    <w:p w14:paraId="1DC0D8AB" w14:textId="77777777" w:rsidR="00D826B5" w:rsidRDefault="00000000">
      <w:pPr>
        <w:numPr>
          <w:ilvl w:val="0"/>
          <w:numId w:val="1"/>
        </w:numPr>
        <w:pBdr>
          <w:top w:val="nil"/>
          <w:left w:val="nil"/>
          <w:bottom w:val="nil"/>
          <w:right w:val="nil"/>
          <w:between w:val="nil"/>
        </w:pBdr>
        <w:rPr>
          <w:color w:val="000000"/>
          <w:sz w:val="16"/>
          <w:szCs w:val="16"/>
        </w:rPr>
      </w:pPr>
      <w:r>
        <w:rPr>
          <w:color w:val="000000"/>
          <w:sz w:val="16"/>
          <w:szCs w:val="16"/>
        </w:rPr>
        <w:t>Tizanidine 4 mg TID (hold for MAP &lt; 65, SBP &lt; 90)</w:t>
      </w:r>
    </w:p>
    <w:p w14:paraId="0A44ECCB" w14:textId="77777777" w:rsidR="00D826B5" w:rsidRDefault="00000000">
      <w:pPr>
        <w:numPr>
          <w:ilvl w:val="0"/>
          <w:numId w:val="1"/>
        </w:numPr>
        <w:pBdr>
          <w:top w:val="nil"/>
          <w:left w:val="nil"/>
          <w:bottom w:val="nil"/>
          <w:right w:val="nil"/>
          <w:between w:val="nil"/>
        </w:pBdr>
        <w:rPr>
          <w:color w:val="000000"/>
          <w:sz w:val="16"/>
          <w:szCs w:val="16"/>
        </w:rPr>
      </w:pPr>
      <w:r>
        <w:rPr>
          <w:color w:val="000000"/>
          <w:sz w:val="16"/>
          <w:szCs w:val="16"/>
        </w:rPr>
        <w:t>Toradol 15 mg Q6H standing (check with surgical team first)</w:t>
      </w:r>
    </w:p>
    <w:p w14:paraId="113CE4F7" w14:textId="77777777" w:rsidR="00D826B5" w:rsidRDefault="00000000">
      <w:pPr>
        <w:rPr>
          <w:sz w:val="16"/>
          <w:szCs w:val="16"/>
        </w:rPr>
      </w:pPr>
      <w:r>
        <w:rPr>
          <w:sz w:val="16"/>
          <w:szCs w:val="16"/>
        </w:rPr>
        <w:t xml:space="preserve">Tylenol, Toradol, gabapentin, tizanidine, and Lidoderm are typical first line adjuncts. Amitriptyline (TCA – neuropathic agent), Lyrica (if failed or intolerant to gabapentin), baclofen (muscle relaxant), and Flexeril (muscle relaxant) are also </w:t>
      </w:r>
      <w:r>
        <w:rPr>
          <w:sz w:val="16"/>
          <w:szCs w:val="16"/>
        </w:rPr>
        <w:t xml:space="preserve">frequently used, but to a lesser extent. There are multiple other adjuncts available on a case-by-case basis. </w:t>
      </w:r>
    </w:p>
    <w:p w14:paraId="68289A90" w14:textId="77777777" w:rsidR="00D826B5" w:rsidRDefault="00000000">
      <w:pPr>
        <w:rPr>
          <w:sz w:val="16"/>
          <w:szCs w:val="16"/>
        </w:rPr>
      </w:pPr>
      <w:r>
        <w:rPr>
          <w:b/>
          <w:sz w:val="16"/>
          <w:szCs w:val="16"/>
        </w:rPr>
        <w:t>7.</w:t>
      </w:r>
      <w:r>
        <w:rPr>
          <w:sz w:val="16"/>
          <w:szCs w:val="16"/>
        </w:rPr>
        <w:t xml:space="preserve"> Remove opioid from the epidural and replace with a PCA. Common dosing regimens are listed below, but the PCA order set in Epic generally makes things very easy. </w:t>
      </w:r>
    </w:p>
    <w:p w14:paraId="78BE8769" w14:textId="77777777" w:rsidR="00D826B5" w:rsidRDefault="00000000">
      <w:pPr>
        <w:pBdr>
          <w:top w:val="nil"/>
          <w:left w:val="nil"/>
          <w:bottom w:val="nil"/>
          <w:right w:val="nil"/>
          <w:between w:val="nil"/>
        </w:pBdr>
        <w:jc w:val="center"/>
        <w:rPr>
          <w:b/>
          <w:color w:val="000000"/>
          <w:sz w:val="16"/>
          <w:szCs w:val="16"/>
        </w:rPr>
      </w:pPr>
      <w:r>
        <w:rPr>
          <w:b/>
          <w:color w:val="000000"/>
          <w:sz w:val="16"/>
          <w:szCs w:val="16"/>
        </w:rPr>
        <w:t>General PCA Dosing</w:t>
      </w:r>
    </w:p>
    <w:tbl>
      <w:tblPr>
        <w:tblStyle w:val="a"/>
        <w:tblW w:w="4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033"/>
        <w:gridCol w:w="1448"/>
        <w:gridCol w:w="992"/>
      </w:tblGrid>
      <w:tr w:rsidR="00D826B5" w14:paraId="6DA3307D" w14:textId="77777777">
        <w:tc>
          <w:tcPr>
            <w:tcW w:w="1063" w:type="dxa"/>
          </w:tcPr>
          <w:p w14:paraId="405DC613" w14:textId="77777777" w:rsidR="00D826B5" w:rsidRDefault="00D826B5">
            <w:pPr>
              <w:pBdr>
                <w:top w:val="nil"/>
                <w:left w:val="nil"/>
                <w:bottom w:val="nil"/>
                <w:right w:val="nil"/>
                <w:between w:val="nil"/>
              </w:pBdr>
              <w:rPr>
                <w:color w:val="000000"/>
                <w:sz w:val="16"/>
                <w:szCs w:val="16"/>
              </w:rPr>
            </w:pPr>
          </w:p>
        </w:tc>
        <w:tc>
          <w:tcPr>
            <w:tcW w:w="1033" w:type="dxa"/>
          </w:tcPr>
          <w:p w14:paraId="6884955A" w14:textId="77777777" w:rsidR="00D826B5" w:rsidRDefault="00000000">
            <w:pPr>
              <w:pBdr>
                <w:top w:val="nil"/>
                <w:left w:val="nil"/>
                <w:bottom w:val="nil"/>
                <w:right w:val="nil"/>
                <w:between w:val="nil"/>
              </w:pBdr>
              <w:jc w:val="center"/>
              <w:rPr>
                <w:b/>
                <w:color w:val="000000"/>
                <w:sz w:val="16"/>
                <w:szCs w:val="16"/>
              </w:rPr>
            </w:pPr>
            <w:r>
              <w:rPr>
                <w:b/>
                <w:color w:val="000000"/>
                <w:sz w:val="16"/>
                <w:szCs w:val="16"/>
              </w:rPr>
              <w:t>Morphine</w:t>
            </w:r>
          </w:p>
        </w:tc>
        <w:tc>
          <w:tcPr>
            <w:tcW w:w="1448" w:type="dxa"/>
          </w:tcPr>
          <w:p w14:paraId="41627E5A" w14:textId="77777777" w:rsidR="00D826B5" w:rsidRDefault="00000000">
            <w:pPr>
              <w:pBdr>
                <w:top w:val="nil"/>
                <w:left w:val="nil"/>
                <w:bottom w:val="nil"/>
                <w:right w:val="nil"/>
                <w:between w:val="nil"/>
              </w:pBdr>
              <w:jc w:val="center"/>
              <w:rPr>
                <w:b/>
                <w:color w:val="000000"/>
                <w:sz w:val="16"/>
                <w:szCs w:val="16"/>
              </w:rPr>
            </w:pPr>
            <w:r>
              <w:rPr>
                <w:b/>
                <w:color w:val="000000"/>
                <w:sz w:val="16"/>
                <w:szCs w:val="16"/>
              </w:rPr>
              <w:t>Hydromorphone</w:t>
            </w:r>
          </w:p>
        </w:tc>
        <w:tc>
          <w:tcPr>
            <w:tcW w:w="992" w:type="dxa"/>
          </w:tcPr>
          <w:p w14:paraId="7A9628AB" w14:textId="77777777" w:rsidR="00D826B5" w:rsidRDefault="00000000">
            <w:pPr>
              <w:pBdr>
                <w:top w:val="nil"/>
                <w:left w:val="nil"/>
                <w:bottom w:val="nil"/>
                <w:right w:val="nil"/>
                <w:between w:val="nil"/>
              </w:pBdr>
              <w:jc w:val="center"/>
              <w:rPr>
                <w:b/>
                <w:color w:val="000000"/>
                <w:sz w:val="16"/>
                <w:szCs w:val="16"/>
              </w:rPr>
            </w:pPr>
            <w:r>
              <w:rPr>
                <w:b/>
                <w:color w:val="000000"/>
                <w:sz w:val="16"/>
                <w:szCs w:val="16"/>
              </w:rPr>
              <w:t>Fentanyl</w:t>
            </w:r>
          </w:p>
        </w:tc>
      </w:tr>
      <w:tr w:rsidR="00D826B5" w14:paraId="01460AEE" w14:textId="77777777">
        <w:tc>
          <w:tcPr>
            <w:tcW w:w="1063" w:type="dxa"/>
          </w:tcPr>
          <w:p w14:paraId="28881BBB" w14:textId="77777777" w:rsidR="00D826B5" w:rsidRDefault="00000000">
            <w:pPr>
              <w:pBdr>
                <w:top w:val="nil"/>
                <w:left w:val="nil"/>
                <w:bottom w:val="nil"/>
                <w:right w:val="nil"/>
                <w:between w:val="nil"/>
              </w:pBdr>
              <w:rPr>
                <w:color w:val="000000"/>
                <w:sz w:val="16"/>
                <w:szCs w:val="16"/>
              </w:rPr>
            </w:pPr>
            <w:r>
              <w:rPr>
                <w:color w:val="000000"/>
                <w:sz w:val="16"/>
                <w:szCs w:val="16"/>
              </w:rPr>
              <w:t>PCA dose</w:t>
            </w:r>
          </w:p>
        </w:tc>
        <w:tc>
          <w:tcPr>
            <w:tcW w:w="1033" w:type="dxa"/>
          </w:tcPr>
          <w:p w14:paraId="089C9334" w14:textId="77777777" w:rsidR="00D826B5" w:rsidRDefault="00000000">
            <w:pPr>
              <w:pBdr>
                <w:top w:val="nil"/>
                <w:left w:val="nil"/>
                <w:bottom w:val="nil"/>
                <w:right w:val="nil"/>
                <w:between w:val="nil"/>
              </w:pBdr>
              <w:jc w:val="center"/>
              <w:rPr>
                <w:color w:val="000000"/>
                <w:sz w:val="16"/>
                <w:szCs w:val="16"/>
              </w:rPr>
            </w:pPr>
            <w:r>
              <w:rPr>
                <w:color w:val="000000"/>
                <w:sz w:val="16"/>
                <w:szCs w:val="16"/>
              </w:rPr>
              <w:t>1.5 mg</w:t>
            </w:r>
          </w:p>
        </w:tc>
        <w:tc>
          <w:tcPr>
            <w:tcW w:w="1448" w:type="dxa"/>
          </w:tcPr>
          <w:p w14:paraId="79C7E331" w14:textId="77777777" w:rsidR="00D826B5" w:rsidRDefault="00000000">
            <w:pPr>
              <w:pBdr>
                <w:top w:val="nil"/>
                <w:left w:val="nil"/>
                <w:bottom w:val="nil"/>
                <w:right w:val="nil"/>
                <w:between w:val="nil"/>
              </w:pBdr>
              <w:jc w:val="center"/>
              <w:rPr>
                <w:color w:val="000000"/>
                <w:sz w:val="16"/>
                <w:szCs w:val="16"/>
              </w:rPr>
            </w:pPr>
            <w:r>
              <w:rPr>
                <w:color w:val="000000"/>
                <w:sz w:val="16"/>
                <w:szCs w:val="16"/>
              </w:rPr>
              <w:t>0.2 mg</w:t>
            </w:r>
          </w:p>
        </w:tc>
        <w:tc>
          <w:tcPr>
            <w:tcW w:w="992" w:type="dxa"/>
          </w:tcPr>
          <w:p w14:paraId="0463BC93" w14:textId="77777777" w:rsidR="00D826B5" w:rsidRDefault="00000000">
            <w:pPr>
              <w:pBdr>
                <w:top w:val="nil"/>
                <w:left w:val="nil"/>
                <w:bottom w:val="nil"/>
                <w:right w:val="nil"/>
                <w:between w:val="nil"/>
              </w:pBdr>
              <w:jc w:val="center"/>
              <w:rPr>
                <w:color w:val="000000"/>
                <w:sz w:val="16"/>
                <w:szCs w:val="16"/>
              </w:rPr>
            </w:pPr>
            <w:r>
              <w:rPr>
                <w:color w:val="000000"/>
                <w:sz w:val="16"/>
                <w:szCs w:val="16"/>
              </w:rPr>
              <w:t>20 mcg</w:t>
            </w:r>
          </w:p>
        </w:tc>
      </w:tr>
      <w:tr w:rsidR="00D826B5" w14:paraId="505FC94E" w14:textId="77777777">
        <w:tc>
          <w:tcPr>
            <w:tcW w:w="1063" w:type="dxa"/>
          </w:tcPr>
          <w:p w14:paraId="771DF06C" w14:textId="77777777" w:rsidR="00D826B5" w:rsidRDefault="00000000">
            <w:pPr>
              <w:pBdr>
                <w:top w:val="nil"/>
                <w:left w:val="nil"/>
                <w:bottom w:val="nil"/>
                <w:right w:val="nil"/>
                <w:between w:val="nil"/>
              </w:pBdr>
              <w:rPr>
                <w:color w:val="000000"/>
                <w:sz w:val="16"/>
                <w:szCs w:val="16"/>
              </w:rPr>
            </w:pPr>
            <w:r>
              <w:rPr>
                <w:color w:val="000000"/>
                <w:sz w:val="16"/>
                <w:szCs w:val="16"/>
              </w:rPr>
              <w:t xml:space="preserve">PCA lockout </w:t>
            </w:r>
          </w:p>
        </w:tc>
        <w:tc>
          <w:tcPr>
            <w:tcW w:w="1033" w:type="dxa"/>
          </w:tcPr>
          <w:p w14:paraId="529D66A1" w14:textId="77777777" w:rsidR="00D826B5" w:rsidRDefault="00000000">
            <w:pPr>
              <w:pBdr>
                <w:top w:val="nil"/>
                <w:left w:val="nil"/>
                <w:bottom w:val="nil"/>
                <w:right w:val="nil"/>
                <w:between w:val="nil"/>
              </w:pBdr>
              <w:jc w:val="center"/>
              <w:rPr>
                <w:color w:val="000000"/>
                <w:sz w:val="16"/>
                <w:szCs w:val="16"/>
              </w:rPr>
            </w:pPr>
            <w:r>
              <w:rPr>
                <w:color w:val="000000"/>
                <w:sz w:val="16"/>
                <w:szCs w:val="16"/>
              </w:rPr>
              <w:t>6 minutes</w:t>
            </w:r>
          </w:p>
        </w:tc>
        <w:tc>
          <w:tcPr>
            <w:tcW w:w="1448" w:type="dxa"/>
          </w:tcPr>
          <w:p w14:paraId="7B771C8E" w14:textId="77777777" w:rsidR="00D826B5" w:rsidRDefault="00000000">
            <w:pPr>
              <w:pBdr>
                <w:top w:val="nil"/>
                <w:left w:val="nil"/>
                <w:bottom w:val="nil"/>
                <w:right w:val="nil"/>
                <w:between w:val="nil"/>
              </w:pBdr>
              <w:jc w:val="center"/>
              <w:rPr>
                <w:color w:val="000000"/>
                <w:sz w:val="16"/>
                <w:szCs w:val="16"/>
              </w:rPr>
            </w:pPr>
            <w:r>
              <w:rPr>
                <w:color w:val="000000"/>
                <w:sz w:val="16"/>
                <w:szCs w:val="16"/>
              </w:rPr>
              <w:t>6 minutes</w:t>
            </w:r>
          </w:p>
        </w:tc>
        <w:tc>
          <w:tcPr>
            <w:tcW w:w="992" w:type="dxa"/>
          </w:tcPr>
          <w:p w14:paraId="238F6D46" w14:textId="77777777" w:rsidR="00D826B5" w:rsidRDefault="00000000">
            <w:pPr>
              <w:pBdr>
                <w:top w:val="nil"/>
                <w:left w:val="nil"/>
                <w:bottom w:val="nil"/>
                <w:right w:val="nil"/>
                <w:between w:val="nil"/>
              </w:pBdr>
              <w:jc w:val="center"/>
              <w:rPr>
                <w:color w:val="000000"/>
                <w:sz w:val="16"/>
                <w:szCs w:val="16"/>
              </w:rPr>
            </w:pPr>
            <w:r>
              <w:rPr>
                <w:color w:val="000000"/>
                <w:sz w:val="16"/>
                <w:szCs w:val="16"/>
              </w:rPr>
              <w:t>6 minutes</w:t>
            </w:r>
          </w:p>
        </w:tc>
      </w:tr>
      <w:tr w:rsidR="00D826B5" w14:paraId="7ECE299B" w14:textId="77777777">
        <w:tc>
          <w:tcPr>
            <w:tcW w:w="1063" w:type="dxa"/>
          </w:tcPr>
          <w:p w14:paraId="05BA9BFE" w14:textId="77777777" w:rsidR="00D826B5" w:rsidRDefault="00000000">
            <w:pPr>
              <w:pBdr>
                <w:top w:val="nil"/>
                <w:left w:val="nil"/>
                <w:bottom w:val="nil"/>
                <w:right w:val="nil"/>
                <w:between w:val="nil"/>
              </w:pBdr>
              <w:rPr>
                <w:color w:val="000000"/>
                <w:sz w:val="16"/>
                <w:szCs w:val="16"/>
              </w:rPr>
            </w:pPr>
            <w:r>
              <w:rPr>
                <w:color w:val="000000"/>
                <w:sz w:val="16"/>
                <w:szCs w:val="16"/>
              </w:rPr>
              <w:t xml:space="preserve">Continuous </w:t>
            </w:r>
          </w:p>
        </w:tc>
        <w:tc>
          <w:tcPr>
            <w:tcW w:w="1033" w:type="dxa"/>
          </w:tcPr>
          <w:p w14:paraId="62FF0CE7" w14:textId="77777777" w:rsidR="00D826B5" w:rsidRDefault="00000000">
            <w:pPr>
              <w:pBdr>
                <w:top w:val="nil"/>
                <w:left w:val="nil"/>
                <w:bottom w:val="nil"/>
                <w:right w:val="nil"/>
                <w:between w:val="nil"/>
              </w:pBdr>
              <w:jc w:val="center"/>
              <w:rPr>
                <w:color w:val="000000"/>
                <w:sz w:val="16"/>
                <w:szCs w:val="16"/>
              </w:rPr>
            </w:pPr>
            <w:r>
              <w:rPr>
                <w:color w:val="000000"/>
                <w:sz w:val="16"/>
                <w:szCs w:val="16"/>
              </w:rPr>
              <w:t>0</w:t>
            </w:r>
          </w:p>
        </w:tc>
        <w:tc>
          <w:tcPr>
            <w:tcW w:w="1448" w:type="dxa"/>
          </w:tcPr>
          <w:p w14:paraId="6D9EEB82" w14:textId="77777777" w:rsidR="00D826B5" w:rsidRDefault="00000000">
            <w:pPr>
              <w:pBdr>
                <w:top w:val="nil"/>
                <w:left w:val="nil"/>
                <w:bottom w:val="nil"/>
                <w:right w:val="nil"/>
                <w:between w:val="nil"/>
              </w:pBdr>
              <w:jc w:val="center"/>
              <w:rPr>
                <w:color w:val="000000"/>
                <w:sz w:val="16"/>
                <w:szCs w:val="16"/>
              </w:rPr>
            </w:pPr>
            <w:r>
              <w:rPr>
                <w:color w:val="000000"/>
                <w:sz w:val="16"/>
                <w:szCs w:val="16"/>
              </w:rPr>
              <w:t>0</w:t>
            </w:r>
          </w:p>
        </w:tc>
        <w:tc>
          <w:tcPr>
            <w:tcW w:w="992" w:type="dxa"/>
          </w:tcPr>
          <w:p w14:paraId="04BDC228" w14:textId="77777777" w:rsidR="00D826B5" w:rsidRDefault="00000000">
            <w:pPr>
              <w:pBdr>
                <w:top w:val="nil"/>
                <w:left w:val="nil"/>
                <w:bottom w:val="nil"/>
                <w:right w:val="nil"/>
                <w:between w:val="nil"/>
              </w:pBdr>
              <w:jc w:val="center"/>
              <w:rPr>
                <w:color w:val="000000"/>
                <w:sz w:val="16"/>
                <w:szCs w:val="16"/>
              </w:rPr>
            </w:pPr>
            <w:r>
              <w:rPr>
                <w:color w:val="000000"/>
                <w:sz w:val="16"/>
                <w:szCs w:val="16"/>
              </w:rPr>
              <w:t>0</w:t>
            </w:r>
          </w:p>
        </w:tc>
      </w:tr>
      <w:tr w:rsidR="00D826B5" w14:paraId="0FB86E42" w14:textId="77777777">
        <w:tc>
          <w:tcPr>
            <w:tcW w:w="1063" w:type="dxa"/>
          </w:tcPr>
          <w:p w14:paraId="461F1E89" w14:textId="77777777" w:rsidR="00D826B5" w:rsidRDefault="00000000">
            <w:pPr>
              <w:pBdr>
                <w:top w:val="nil"/>
                <w:left w:val="nil"/>
                <w:bottom w:val="nil"/>
                <w:right w:val="nil"/>
                <w:between w:val="nil"/>
              </w:pBdr>
              <w:rPr>
                <w:color w:val="000000"/>
                <w:sz w:val="16"/>
                <w:szCs w:val="16"/>
              </w:rPr>
            </w:pPr>
            <w:r>
              <w:rPr>
                <w:color w:val="000000"/>
                <w:sz w:val="16"/>
                <w:szCs w:val="16"/>
              </w:rPr>
              <w:t>1 hour limit</w:t>
            </w:r>
          </w:p>
        </w:tc>
        <w:tc>
          <w:tcPr>
            <w:tcW w:w="1033" w:type="dxa"/>
          </w:tcPr>
          <w:p w14:paraId="32E35818" w14:textId="77777777" w:rsidR="00D826B5" w:rsidRDefault="00000000">
            <w:pPr>
              <w:pBdr>
                <w:top w:val="nil"/>
                <w:left w:val="nil"/>
                <w:bottom w:val="nil"/>
                <w:right w:val="nil"/>
                <w:between w:val="nil"/>
              </w:pBdr>
              <w:jc w:val="center"/>
              <w:rPr>
                <w:color w:val="000000"/>
                <w:sz w:val="16"/>
                <w:szCs w:val="16"/>
              </w:rPr>
            </w:pPr>
            <w:r>
              <w:rPr>
                <w:color w:val="000000"/>
                <w:sz w:val="16"/>
                <w:szCs w:val="16"/>
              </w:rPr>
              <w:t>15 mg</w:t>
            </w:r>
          </w:p>
        </w:tc>
        <w:tc>
          <w:tcPr>
            <w:tcW w:w="1448" w:type="dxa"/>
          </w:tcPr>
          <w:p w14:paraId="56B760E4" w14:textId="77777777" w:rsidR="00D826B5" w:rsidRDefault="00000000">
            <w:pPr>
              <w:pBdr>
                <w:top w:val="nil"/>
                <w:left w:val="nil"/>
                <w:bottom w:val="nil"/>
                <w:right w:val="nil"/>
                <w:between w:val="nil"/>
              </w:pBdr>
              <w:jc w:val="center"/>
              <w:rPr>
                <w:color w:val="000000"/>
                <w:sz w:val="16"/>
                <w:szCs w:val="16"/>
              </w:rPr>
            </w:pPr>
            <w:r>
              <w:rPr>
                <w:color w:val="000000"/>
                <w:sz w:val="16"/>
                <w:szCs w:val="16"/>
              </w:rPr>
              <w:t>2 mg</w:t>
            </w:r>
          </w:p>
        </w:tc>
        <w:tc>
          <w:tcPr>
            <w:tcW w:w="992" w:type="dxa"/>
          </w:tcPr>
          <w:p w14:paraId="540CF24E" w14:textId="77777777" w:rsidR="00D826B5" w:rsidRDefault="00000000">
            <w:pPr>
              <w:pBdr>
                <w:top w:val="nil"/>
                <w:left w:val="nil"/>
                <w:bottom w:val="nil"/>
                <w:right w:val="nil"/>
                <w:between w:val="nil"/>
              </w:pBdr>
              <w:jc w:val="center"/>
              <w:rPr>
                <w:color w:val="000000"/>
                <w:sz w:val="16"/>
                <w:szCs w:val="16"/>
              </w:rPr>
            </w:pPr>
            <w:r>
              <w:rPr>
                <w:color w:val="000000"/>
                <w:sz w:val="16"/>
                <w:szCs w:val="16"/>
              </w:rPr>
              <w:t>200 mcg</w:t>
            </w:r>
          </w:p>
        </w:tc>
      </w:tr>
    </w:tbl>
    <w:p w14:paraId="316A9E3D" w14:textId="77777777" w:rsidR="00D826B5" w:rsidRDefault="00000000">
      <w:pPr>
        <w:pBdr>
          <w:top w:val="nil"/>
          <w:left w:val="nil"/>
          <w:bottom w:val="nil"/>
          <w:right w:val="nil"/>
          <w:between w:val="nil"/>
        </w:pBdr>
        <w:jc w:val="center"/>
        <w:rPr>
          <w:b/>
          <w:color w:val="000000"/>
          <w:sz w:val="16"/>
          <w:szCs w:val="16"/>
        </w:rPr>
      </w:pPr>
      <w:r>
        <w:rPr>
          <w:b/>
          <w:color w:val="000000"/>
          <w:sz w:val="16"/>
          <w:szCs w:val="16"/>
        </w:rPr>
        <w:t>Opioid-Tolerant PCA Dosing</w:t>
      </w:r>
    </w:p>
    <w:tbl>
      <w:tblPr>
        <w:tblStyle w:val="a0"/>
        <w:tblW w:w="4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033"/>
        <w:gridCol w:w="1448"/>
        <w:gridCol w:w="992"/>
      </w:tblGrid>
      <w:tr w:rsidR="00D826B5" w14:paraId="4F34A483" w14:textId="77777777">
        <w:tc>
          <w:tcPr>
            <w:tcW w:w="1063" w:type="dxa"/>
          </w:tcPr>
          <w:p w14:paraId="62454FD7" w14:textId="77777777" w:rsidR="00D826B5" w:rsidRDefault="00D826B5">
            <w:pPr>
              <w:pBdr>
                <w:top w:val="nil"/>
                <w:left w:val="nil"/>
                <w:bottom w:val="nil"/>
                <w:right w:val="nil"/>
                <w:between w:val="nil"/>
              </w:pBdr>
              <w:rPr>
                <w:color w:val="000000"/>
                <w:sz w:val="16"/>
                <w:szCs w:val="16"/>
              </w:rPr>
            </w:pPr>
          </w:p>
        </w:tc>
        <w:tc>
          <w:tcPr>
            <w:tcW w:w="1033" w:type="dxa"/>
          </w:tcPr>
          <w:p w14:paraId="1814E877" w14:textId="77777777" w:rsidR="00D826B5" w:rsidRDefault="00000000">
            <w:pPr>
              <w:pBdr>
                <w:top w:val="nil"/>
                <w:left w:val="nil"/>
                <w:bottom w:val="nil"/>
                <w:right w:val="nil"/>
                <w:between w:val="nil"/>
              </w:pBdr>
              <w:jc w:val="center"/>
              <w:rPr>
                <w:b/>
                <w:color w:val="000000"/>
                <w:sz w:val="16"/>
                <w:szCs w:val="16"/>
              </w:rPr>
            </w:pPr>
            <w:r>
              <w:rPr>
                <w:b/>
                <w:color w:val="000000"/>
                <w:sz w:val="16"/>
                <w:szCs w:val="16"/>
              </w:rPr>
              <w:t>Morphine</w:t>
            </w:r>
          </w:p>
        </w:tc>
        <w:tc>
          <w:tcPr>
            <w:tcW w:w="1448" w:type="dxa"/>
          </w:tcPr>
          <w:p w14:paraId="7526CC48" w14:textId="77777777" w:rsidR="00D826B5" w:rsidRDefault="00000000">
            <w:pPr>
              <w:pBdr>
                <w:top w:val="nil"/>
                <w:left w:val="nil"/>
                <w:bottom w:val="nil"/>
                <w:right w:val="nil"/>
                <w:between w:val="nil"/>
              </w:pBdr>
              <w:jc w:val="center"/>
              <w:rPr>
                <w:b/>
                <w:color w:val="000000"/>
                <w:sz w:val="16"/>
                <w:szCs w:val="16"/>
              </w:rPr>
            </w:pPr>
            <w:r>
              <w:rPr>
                <w:b/>
                <w:color w:val="000000"/>
                <w:sz w:val="16"/>
                <w:szCs w:val="16"/>
              </w:rPr>
              <w:t>Hydromorphone</w:t>
            </w:r>
          </w:p>
        </w:tc>
        <w:tc>
          <w:tcPr>
            <w:tcW w:w="992" w:type="dxa"/>
          </w:tcPr>
          <w:p w14:paraId="6C77E90E" w14:textId="77777777" w:rsidR="00D826B5" w:rsidRDefault="00000000">
            <w:pPr>
              <w:pBdr>
                <w:top w:val="nil"/>
                <w:left w:val="nil"/>
                <w:bottom w:val="nil"/>
                <w:right w:val="nil"/>
                <w:between w:val="nil"/>
              </w:pBdr>
              <w:jc w:val="center"/>
              <w:rPr>
                <w:b/>
                <w:color w:val="000000"/>
                <w:sz w:val="16"/>
                <w:szCs w:val="16"/>
              </w:rPr>
            </w:pPr>
            <w:r>
              <w:rPr>
                <w:b/>
                <w:color w:val="000000"/>
                <w:sz w:val="16"/>
                <w:szCs w:val="16"/>
              </w:rPr>
              <w:t>Fentanyl</w:t>
            </w:r>
          </w:p>
        </w:tc>
      </w:tr>
      <w:tr w:rsidR="00D826B5" w14:paraId="4A716711" w14:textId="77777777">
        <w:tc>
          <w:tcPr>
            <w:tcW w:w="1063" w:type="dxa"/>
          </w:tcPr>
          <w:p w14:paraId="31981B1E" w14:textId="77777777" w:rsidR="00D826B5" w:rsidRDefault="00000000">
            <w:pPr>
              <w:pBdr>
                <w:top w:val="nil"/>
                <w:left w:val="nil"/>
                <w:bottom w:val="nil"/>
                <w:right w:val="nil"/>
                <w:between w:val="nil"/>
              </w:pBdr>
              <w:rPr>
                <w:color w:val="000000"/>
                <w:sz w:val="16"/>
                <w:szCs w:val="16"/>
              </w:rPr>
            </w:pPr>
            <w:r>
              <w:rPr>
                <w:color w:val="000000"/>
                <w:sz w:val="16"/>
                <w:szCs w:val="16"/>
              </w:rPr>
              <w:t>PCA dose</w:t>
            </w:r>
          </w:p>
        </w:tc>
        <w:tc>
          <w:tcPr>
            <w:tcW w:w="1033" w:type="dxa"/>
          </w:tcPr>
          <w:p w14:paraId="33552C76" w14:textId="77777777" w:rsidR="00D826B5" w:rsidRDefault="00000000">
            <w:pPr>
              <w:pBdr>
                <w:top w:val="nil"/>
                <w:left w:val="nil"/>
                <w:bottom w:val="nil"/>
                <w:right w:val="nil"/>
                <w:between w:val="nil"/>
              </w:pBdr>
              <w:jc w:val="center"/>
              <w:rPr>
                <w:color w:val="000000"/>
                <w:sz w:val="16"/>
                <w:szCs w:val="16"/>
              </w:rPr>
            </w:pPr>
            <w:r>
              <w:rPr>
                <w:color w:val="000000"/>
                <w:sz w:val="16"/>
                <w:szCs w:val="16"/>
              </w:rPr>
              <w:t>3 mg</w:t>
            </w:r>
          </w:p>
        </w:tc>
        <w:tc>
          <w:tcPr>
            <w:tcW w:w="1448" w:type="dxa"/>
          </w:tcPr>
          <w:p w14:paraId="6597672F" w14:textId="77777777" w:rsidR="00D826B5" w:rsidRDefault="00000000">
            <w:pPr>
              <w:pBdr>
                <w:top w:val="nil"/>
                <w:left w:val="nil"/>
                <w:bottom w:val="nil"/>
                <w:right w:val="nil"/>
                <w:between w:val="nil"/>
              </w:pBdr>
              <w:jc w:val="center"/>
              <w:rPr>
                <w:color w:val="000000"/>
                <w:sz w:val="16"/>
                <w:szCs w:val="16"/>
              </w:rPr>
            </w:pPr>
            <w:r>
              <w:rPr>
                <w:color w:val="000000"/>
                <w:sz w:val="16"/>
                <w:szCs w:val="16"/>
              </w:rPr>
              <w:t>0.5 mg</w:t>
            </w:r>
          </w:p>
        </w:tc>
        <w:tc>
          <w:tcPr>
            <w:tcW w:w="992" w:type="dxa"/>
          </w:tcPr>
          <w:p w14:paraId="7C5E5860" w14:textId="77777777" w:rsidR="00D826B5" w:rsidRDefault="00000000">
            <w:pPr>
              <w:pBdr>
                <w:top w:val="nil"/>
                <w:left w:val="nil"/>
                <w:bottom w:val="nil"/>
                <w:right w:val="nil"/>
                <w:between w:val="nil"/>
              </w:pBdr>
              <w:jc w:val="center"/>
              <w:rPr>
                <w:color w:val="000000"/>
                <w:sz w:val="16"/>
                <w:szCs w:val="16"/>
              </w:rPr>
            </w:pPr>
            <w:r>
              <w:rPr>
                <w:color w:val="000000"/>
                <w:sz w:val="16"/>
                <w:szCs w:val="16"/>
              </w:rPr>
              <w:t>40 mcg</w:t>
            </w:r>
          </w:p>
        </w:tc>
      </w:tr>
      <w:tr w:rsidR="00D826B5" w14:paraId="25DF72B4" w14:textId="77777777">
        <w:tc>
          <w:tcPr>
            <w:tcW w:w="1063" w:type="dxa"/>
          </w:tcPr>
          <w:p w14:paraId="7B8BCB51" w14:textId="77777777" w:rsidR="00D826B5" w:rsidRDefault="00000000">
            <w:pPr>
              <w:pBdr>
                <w:top w:val="nil"/>
                <w:left w:val="nil"/>
                <w:bottom w:val="nil"/>
                <w:right w:val="nil"/>
                <w:between w:val="nil"/>
              </w:pBdr>
              <w:rPr>
                <w:color w:val="000000"/>
                <w:sz w:val="16"/>
                <w:szCs w:val="16"/>
              </w:rPr>
            </w:pPr>
            <w:r>
              <w:rPr>
                <w:color w:val="000000"/>
                <w:sz w:val="16"/>
                <w:szCs w:val="16"/>
              </w:rPr>
              <w:t xml:space="preserve">PCA lockout </w:t>
            </w:r>
          </w:p>
        </w:tc>
        <w:tc>
          <w:tcPr>
            <w:tcW w:w="1033" w:type="dxa"/>
          </w:tcPr>
          <w:p w14:paraId="3D03E1F4" w14:textId="77777777" w:rsidR="00D826B5" w:rsidRDefault="00000000">
            <w:pPr>
              <w:pBdr>
                <w:top w:val="nil"/>
                <w:left w:val="nil"/>
                <w:bottom w:val="nil"/>
                <w:right w:val="nil"/>
                <w:between w:val="nil"/>
              </w:pBdr>
              <w:jc w:val="center"/>
              <w:rPr>
                <w:color w:val="000000"/>
                <w:sz w:val="16"/>
                <w:szCs w:val="16"/>
              </w:rPr>
            </w:pPr>
            <w:r>
              <w:rPr>
                <w:color w:val="000000"/>
                <w:sz w:val="16"/>
                <w:szCs w:val="16"/>
              </w:rPr>
              <w:t>6 minutes</w:t>
            </w:r>
          </w:p>
        </w:tc>
        <w:tc>
          <w:tcPr>
            <w:tcW w:w="1448" w:type="dxa"/>
          </w:tcPr>
          <w:p w14:paraId="59002D79" w14:textId="77777777" w:rsidR="00D826B5" w:rsidRDefault="00000000">
            <w:pPr>
              <w:pBdr>
                <w:top w:val="nil"/>
                <w:left w:val="nil"/>
                <w:bottom w:val="nil"/>
                <w:right w:val="nil"/>
                <w:between w:val="nil"/>
              </w:pBdr>
              <w:jc w:val="center"/>
              <w:rPr>
                <w:color w:val="000000"/>
                <w:sz w:val="16"/>
                <w:szCs w:val="16"/>
              </w:rPr>
            </w:pPr>
            <w:r>
              <w:rPr>
                <w:color w:val="000000"/>
                <w:sz w:val="16"/>
                <w:szCs w:val="16"/>
              </w:rPr>
              <w:t>6 minutes</w:t>
            </w:r>
          </w:p>
        </w:tc>
        <w:tc>
          <w:tcPr>
            <w:tcW w:w="992" w:type="dxa"/>
          </w:tcPr>
          <w:p w14:paraId="76DD6102" w14:textId="77777777" w:rsidR="00D826B5" w:rsidRDefault="00000000">
            <w:pPr>
              <w:pBdr>
                <w:top w:val="nil"/>
                <w:left w:val="nil"/>
                <w:bottom w:val="nil"/>
                <w:right w:val="nil"/>
                <w:between w:val="nil"/>
              </w:pBdr>
              <w:jc w:val="center"/>
              <w:rPr>
                <w:color w:val="000000"/>
                <w:sz w:val="16"/>
                <w:szCs w:val="16"/>
              </w:rPr>
            </w:pPr>
            <w:r>
              <w:rPr>
                <w:color w:val="000000"/>
                <w:sz w:val="16"/>
                <w:szCs w:val="16"/>
              </w:rPr>
              <w:t>6 minutes</w:t>
            </w:r>
          </w:p>
        </w:tc>
      </w:tr>
      <w:tr w:rsidR="00D826B5" w14:paraId="1F2940DD" w14:textId="77777777">
        <w:tc>
          <w:tcPr>
            <w:tcW w:w="1063" w:type="dxa"/>
          </w:tcPr>
          <w:p w14:paraId="0840294D" w14:textId="77777777" w:rsidR="00D826B5" w:rsidRDefault="00000000">
            <w:pPr>
              <w:pBdr>
                <w:top w:val="nil"/>
                <w:left w:val="nil"/>
                <w:bottom w:val="nil"/>
                <w:right w:val="nil"/>
                <w:between w:val="nil"/>
              </w:pBdr>
              <w:rPr>
                <w:color w:val="000000"/>
                <w:sz w:val="16"/>
                <w:szCs w:val="16"/>
              </w:rPr>
            </w:pPr>
            <w:r>
              <w:rPr>
                <w:color w:val="000000"/>
                <w:sz w:val="16"/>
                <w:szCs w:val="16"/>
              </w:rPr>
              <w:t xml:space="preserve">Continuous </w:t>
            </w:r>
          </w:p>
        </w:tc>
        <w:tc>
          <w:tcPr>
            <w:tcW w:w="1033" w:type="dxa"/>
          </w:tcPr>
          <w:p w14:paraId="207D3482" w14:textId="77777777" w:rsidR="00D826B5" w:rsidRDefault="00000000">
            <w:pPr>
              <w:pBdr>
                <w:top w:val="nil"/>
                <w:left w:val="nil"/>
                <w:bottom w:val="nil"/>
                <w:right w:val="nil"/>
                <w:between w:val="nil"/>
              </w:pBdr>
              <w:jc w:val="center"/>
              <w:rPr>
                <w:color w:val="000000"/>
                <w:sz w:val="16"/>
                <w:szCs w:val="16"/>
              </w:rPr>
            </w:pPr>
            <w:r>
              <w:rPr>
                <w:color w:val="000000"/>
                <w:sz w:val="16"/>
                <w:szCs w:val="16"/>
              </w:rPr>
              <w:t>0</w:t>
            </w:r>
          </w:p>
        </w:tc>
        <w:tc>
          <w:tcPr>
            <w:tcW w:w="1448" w:type="dxa"/>
          </w:tcPr>
          <w:p w14:paraId="7E542847" w14:textId="77777777" w:rsidR="00D826B5" w:rsidRDefault="00000000">
            <w:pPr>
              <w:pBdr>
                <w:top w:val="nil"/>
                <w:left w:val="nil"/>
                <w:bottom w:val="nil"/>
                <w:right w:val="nil"/>
                <w:between w:val="nil"/>
              </w:pBdr>
              <w:jc w:val="center"/>
              <w:rPr>
                <w:color w:val="000000"/>
                <w:sz w:val="16"/>
                <w:szCs w:val="16"/>
              </w:rPr>
            </w:pPr>
            <w:r>
              <w:rPr>
                <w:color w:val="000000"/>
                <w:sz w:val="16"/>
                <w:szCs w:val="16"/>
              </w:rPr>
              <w:t>0</w:t>
            </w:r>
          </w:p>
        </w:tc>
        <w:tc>
          <w:tcPr>
            <w:tcW w:w="992" w:type="dxa"/>
          </w:tcPr>
          <w:p w14:paraId="7D9A2FD0" w14:textId="77777777" w:rsidR="00D826B5" w:rsidRDefault="00000000">
            <w:pPr>
              <w:pBdr>
                <w:top w:val="nil"/>
                <w:left w:val="nil"/>
                <w:bottom w:val="nil"/>
                <w:right w:val="nil"/>
                <w:between w:val="nil"/>
              </w:pBdr>
              <w:jc w:val="center"/>
              <w:rPr>
                <w:color w:val="000000"/>
                <w:sz w:val="16"/>
                <w:szCs w:val="16"/>
              </w:rPr>
            </w:pPr>
            <w:r>
              <w:rPr>
                <w:color w:val="000000"/>
                <w:sz w:val="16"/>
                <w:szCs w:val="16"/>
              </w:rPr>
              <w:t>0</w:t>
            </w:r>
          </w:p>
        </w:tc>
      </w:tr>
      <w:tr w:rsidR="00D826B5" w14:paraId="5FAE0913" w14:textId="77777777">
        <w:tc>
          <w:tcPr>
            <w:tcW w:w="1063" w:type="dxa"/>
          </w:tcPr>
          <w:p w14:paraId="0CAA3355" w14:textId="77777777" w:rsidR="00D826B5" w:rsidRDefault="00000000">
            <w:pPr>
              <w:pBdr>
                <w:top w:val="nil"/>
                <w:left w:val="nil"/>
                <w:bottom w:val="nil"/>
                <w:right w:val="nil"/>
                <w:between w:val="nil"/>
              </w:pBdr>
              <w:rPr>
                <w:color w:val="000000"/>
                <w:sz w:val="16"/>
                <w:szCs w:val="16"/>
              </w:rPr>
            </w:pPr>
            <w:r>
              <w:rPr>
                <w:color w:val="000000"/>
                <w:sz w:val="16"/>
                <w:szCs w:val="16"/>
              </w:rPr>
              <w:t>1 hour limit</w:t>
            </w:r>
          </w:p>
        </w:tc>
        <w:tc>
          <w:tcPr>
            <w:tcW w:w="1033" w:type="dxa"/>
          </w:tcPr>
          <w:p w14:paraId="787FFD92" w14:textId="77777777" w:rsidR="00D826B5" w:rsidRDefault="00000000">
            <w:pPr>
              <w:pBdr>
                <w:top w:val="nil"/>
                <w:left w:val="nil"/>
                <w:bottom w:val="nil"/>
                <w:right w:val="nil"/>
                <w:between w:val="nil"/>
              </w:pBdr>
              <w:jc w:val="center"/>
              <w:rPr>
                <w:color w:val="000000"/>
                <w:sz w:val="16"/>
                <w:szCs w:val="16"/>
              </w:rPr>
            </w:pPr>
            <w:r>
              <w:rPr>
                <w:color w:val="000000"/>
                <w:sz w:val="16"/>
                <w:szCs w:val="16"/>
              </w:rPr>
              <w:t>30 mg</w:t>
            </w:r>
          </w:p>
        </w:tc>
        <w:tc>
          <w:tcPr>
            <w:tcW w:w="1448" w:type="dxa"/>
          </w:tcPr>
          <w:p w14:paraId="612FC4FF" w14:textId="77777777" w:rsidR="00D826B5" w:rsidRDefault="00000000">
            <w:pPr>
              <w:pBdr>
                <w:top w:val="nil"/>
                <w:left w:val="nil"/>
                <w:bottom w:val="nil"/>
                <w:right w:val="nil"/>
                <w:between w:val="nil"/>
              </w:pBdr>
              <w:jc w:val="center"/>
              <w:rPr>
                <w:color w:val="000000"/>
                <w:sz w:val="16"/>
                <w:szCs w:val="16"/>
              </w:rPr>
            </w:pPr>
            <w:r>
              <w:rPr>
                <w:color w:val="000000"/>
                <w:sz w:val="16"/>
                <w:szCs w:val="16"/>
              </w:rPr>
              <w:t>5 mg</w:t>
            </w:r>
          </w:p>
        </w:tc>
        <w:tc>
          <w:tcPr>
            <w:tcW w:w="992" w:type="dxa"/>
          </w:tcPr>
          <w:p w14:paraId="00A54754" w14:textId="77777777" w:rsidR="00D826B5" w:rsidRDefault="00000000">
            <w:pPr>
              <w:pBdr>
                <w:top w:val="nil"/>
                <w:left w:val="nil"/>
                <w:bottom w:val="nil"/>
                <w:right w:val="nil"/>
                <w:between w:val="nil"/>
              </w:pBdr>
              <w:jc w:val="center"/>
              <w:rPr>
                <w:color w:val="000000"/>
                <w:sz w:val="16"/>
                <w:szCs w:val="16"/>
              </w:rPr>
            </w:pPr>
            <w:r>
              <w:rPr>
                <w:color w:val="000000"/>
                <w:sz w:val="16"/>
                <w:szCs w:val="16"/>
              </w:rPr>
              <w:t>400 mcg</w:t>
            </w:r>
          </w:p>
        </w:tc>
      </w:tr>
    </w:tbl>
    <w:p w14:paraId="329F1A83" w14:textId="77777777" w:rsidR="00D826B5" w:rsidRDefault="00000000">
      <w:pPr>
        <w:pBdr>
          <w:top w:val="nil"/>
          <w:left w:val="nil"/>
          <w:bottom w:val="nil"/>
          <w:right w:val="nil"/>
          <w:between w:val="nil"/>
        </w:pBdr>
        <w:rPr>
          <w:color w:val="000000"/>
          <w:sz w:val="16"/>
          <w:szCs w:val="16"/>
        </w:rPr>
      </w:pPr>
      <w:r>
        <w:rPr>
          <w:b/>
          <w:color w:val="000000"/>
          <w:sz w:val="16"/>
          <w:szCs w:val="16"/>
        </w:rPr>
        <w:t>8.</w:t>
      </w:r>
      <w:r>
        <w:rPr>
          <w:color w:val="000000"/>
          <w:sz w:val="16"/>
          <w:szCs w:val="16"/>
        </w:rPr>
        <w:t xml:space="preserve"> If opioids and standard adjuncts fail, ketamine and lidocaine infusions can then be used. A standard starting dose for ketamine is 3 mcg/kg/min (typical range from 1-5). A standard starting dose for lidocaine is 1 mg/kg/</w:t>
      </w:r>
      <w:proofErr w:type="spellStart"/>
      <w:r>
        <w:rPr>
          <w:color w:val="000000"/>
          <w:sz w:val="16"/>
          <w:szCs w:val="16"/>
        </w:rPr>
        <w:t>hr</w:t>
      </w:r>
      <w:proofErr w:type="spellEnd"/>
      <w:r>
        <w:rPr>
          <w:color w:val="000000"/>
          <w:sz w:val="16"/>
          <w:szCs w:val="16"/>
        </w:rPr>
        <w:t xml:space="preserve"> (typical range from 0.5-2). For ketamine infusions, you must physically start the infusion yourself and remain present for 15 minutes after starting to ensure the patient is safe. </w:t>
      </w:r>
    </w:p>
    <w:p w14:paraId="1CC8D528" w14:textId="77777777" w:rsidR="00D826B5" w:rsidRDefault="00000000">
      <w:pPr>
        <w:pBdr>
          <w:top w:val="nil"/>
          <w:left w:val="nil"/>
          <w:bottom w:val="nil"/>
          <w:right w:val="nil"/>
          <w:between w:val="nil"/>
        </w:pBdr>
        <w:rPr>
          <w:color w:val="000000"/>
          <w:sz w:val="16"/>
          <w:szCs w:val="16"/>
          <w:u w:val="single"/>
        </w:rPr>
      </w:pPr>
      <w:r>
        <w:rPr>
          <w:color w:val="000000"/>
          <w:sz w:val="16"/>
          <w:szCs w:val="16"/>
          <w:u w:val="single"/>
        </w:rPr>
        <w:t>Motor block</w:t>
      </w:r>
    </w:p>
    <w:p w14:paraId="5FA61088" w14:textId="77777777" w:rsidR="00D826B5" w:rsidRDefault="00000000">
      <w:pPr>
        <w:rPr>
          <w:sz w:val="16"/>
          <w:szCs w:val="16"/>
        </w:rPr>
      </w:pPr>
      <w:r>
        <w:rPr>
          <w:b/>
          <w:sz w:val="16"/>
          <w:szCs w:val="16"/>
        </w:rPr>
        <w:t>1.</w:t>
      </w:r>
      <w:r>
        <w:rPr>
          <w:sz w:val="16"/>
          <w:szCs w:val="16"/>
        </w:rPr>
        <w:t xml:space="preserve"> Reduce rate until motor function returns or pause, wait for return of motor function, and then restart at a lower rate. </w:t>
      </w:r>
    </w:p>
    <w:p w14:paraId="00D529AC" w14:textId="77777777" w:rsidR="00D826B5" w:rsidRDefault="00000000">
      <w:pPr>
        <w:pBdr>
          <w:top w:val="nil"/>
          <w:left w:val="nil"/>
          <w:bottom w:val="nil"/>
          <w:right w:val="nil"/>
          <w:between w:val="nil"/>
        </w:pBdr>
        <w:rPr>
          <w:color w:val="000000"/>
          <w:sz w:val="16"/>
          <w:szCs w:val="16"/>
          <w:u w:val="single"/>
        </w:rPr>
      </w:pPr>
      <w:r>
        <w:rPr>
          <w:color w:val="000000"/>
          <w:sz w:val="16"/>
          <w:szCs w:val="16"/>
          <w:u w:val="single"/>
        </w:rPr>
        <w:t>Hypotension</w:t>
      </w:r>
    </w:p>
    <w:p w14:paraId="0CAC4D0E" w14:textId="77777777" w:rsidR="00D826B5" w:rsidRDefault="00000000">
      <w:pPr>
        <w:pBdr>
          <w:top w:val="nil"/>
          <w:left w:val="nil"/>
          <w:bottom w:val="nil"/>
          <w:right w:val="nil"/>
          <w:between w:val="nil"/>
        </w:pBdr>
        <w:rPr>
          <w:color w:val="000000"/>
          <w:sz w:val="16"/>
          <w:szCs w:val="16"/>
        </w:rPr>
      </w:pPr>
      <w:r>
        <w:rPr>
          <w:b/>
          <w:color w:val="000000"/>
          <w:sz w:val="16"/>
          <w:szCs w:val="16"/>
        </w:rPr>
        <w:t>1.</w:t>
      </w:r>
      <w:r>
        <w:rPr>
          <w:color w:val="000000"/>
          <w:sz w:val="16"/>
          <w:szCs w:val="16"/>
        </w:rPr>
        <w:t xml:space="preserve"> Ensure primary team has been notified! They should write for fluid boluses or pressors. Of course, determine if the epidural is the cause and make sure the patient is safe.</w:t>
      </w:r>
    </w:p>
    <w:p w14:paraId="4914D3F3" w14:textId="77777777" w:rsidR="00D826B5" w:rsidRDefault="00000000">
      <w:pPr>
        <w:pBdr>
          <w:top w:val="nil"/>
          <w:left w:val="nil"/>
          <w:bottom w:val="nil"/>
          <w:right w:val="nil"/>
          <w:between w:val="nil"/>
        </w:pBdr>
        <w:rPr>
          <w:color w:val="000000"/>
          <w:sz w:val="16"/>
          <w:szCs w:val="16"/>
        </w:rPr>
      </w:pPr>
      <w:r>
        <w:rPr>
          <w:b/>
          <w:color w:val="000000"/>
          <w:sz w:val="16"/>
          <w:szCs w:val="16"/>
        </w:rPr>
        <w:t>2.</w:t>
      </w:r>
      <w:r>
        <w:rPr>
          <w:color w:val="000000"/>
          <w:sz w:val="16"/>
          <w:szCs w:val="16"/>
        </w:rPr>
        <w:t xml:space="preserve"> Pause epidural for at least 1 hour. If hypotension improves, restart epidural at a lower continuous rate or concentration.</w:t>
      </w:r>
    </w:p>
    <w:p w14:paraId="3F13E9A8" w14:textId="77777777" w:rsidR="00D826B5" w:rsidRDefault="00000000">
      <w:pPr>
        <w:pBdr>
          <w:top w:val="nil"/>
          <w:left w:val="nil"/>
          <w:bottom w:val="nil"/>
          <w:right w:val="nil"/>
          <w:between w:val="nil"/>
        </w:pBdr>
        <w:rPr>
          <w:color w:val="000000"/>
          <w:sz w:val="16"/>
          <w:szCs w:val="16"/>
          <w:u w:val="single"/>
        </w:rPr>
      </w:pPr>
      <w:r>
        <w:rPr>
          <w:color w:val="000000"/>
          <w:sz w:val="16"/>
          <w:szCs w:val="16"/>
          <w:u w:val="single"/>
        </w:rPr>
        <w:t>Nausea/Itching/Confusion</w:t>
      </w:r>
    </w:p>
    <w:p w14:paraId="79F7A20D" w14:textId="77777777" w:rsidR="00D826B5" w:rsidRDefault="00000000">
      <w:pPr>
        <w:rPr>
          <w:sz w:val="16"/>
          <w:szCs w:val="16"/>
        </w:rPr>
      </w:pPr>
      <w:r>
        <w:rPr>
          <w:b/>
          <w:sz w:val="16"/>
          <w:szCs w:val="16"/>
        </w:rPr>
        <w:t>1.</w:t>
      </w:r>
      <w:r>
        <w:rPr>
          <w:sz w:val="16"/>
          <w:szCs w:val="16"/>
        </w:rPr>
        <w:t xml:space="preserve"> Often caused by the opioid in the mix.</w:t>
      </w:r>
    </w:p>
    <w:p w14:paraId="2C10CCA0" w14:textId="77777777" w:rsidR="00D826B5" w:rsidRDefault="00000000">
      <w:pPr>
        <w:rPr>
          <w:sz w:val="16"/>
          <w:szCs w:val="16"/>
        </w:rPr>
      </w:pPr>
      <w:r>
        <w:rPr>
          <w:b/>
          <w:sz w:val="16"/>
          <w:szCs w:val="16"/>
        </w:rPr>
        <w:t>2.</w:t>
      </w:r>
      <w:r>
        <w:rPr>
          <w:sz w:val="16"/>
          <w:szCs w:val="16"/>
        </w:rPr>
        <w:t xml:space="preserve"> For itching, make sure the patient is ordered for and receiving Nubain (should be automatically ordered as part of the epidural order set).</w:t>
      </w:r>
    </w:p>
    <w:p w14:paraId="1B86F25D" w14:textId="77777777" w:rsidR="00D826B5" w:rsidRDefault="00000000">
      <w:pPr>
        <w:rPr>
          <w:sz w:val="16"/>
          <w:szCs w:val="16"/>
        </w:rPr>
      </w:pPr>
      <w:r>
        <w:rPr>
          <w:b/>
          <w:sz w:val="16"/>
          <w:szCs w:val="16"/>
        </w:rPr>
        <w:t>3.</w:t>
      </w:r>
      <w:r>
        <w:rPr>
          <w:sz w:val="16"/>
          <w:szCs w:val="16"/>
        </w:rPr>
        <w:t xml:space="preserve"> If symptoms persist and are mild, reduce concentration (i.e., B1H20 to B1H10). If symptoms are moderate to severe, switch the opioid in the mix. Most times patients will have less nausea, itching, and confusion when you change from hydromorphone to fentanyl. However, changing from fentanyl to hydromorphone may still be effective in some patients. If symptoms continue to be bothersome, remove opioid from the epidural altogether. </w:t>
      </w:r>
    </w:p>
    <w:p w14:paraId="230CA444" w14:textId="77777777" w:rsidR="00D826B5" w:rsidRDefault="00D826B5">
      <w:pPr>
        <w:rPr>
          <w:sz w:val="16"/>
          <w:szCs w:val="16"/>
        </w:rPr>
      </w:pPr>
    </w:p>
    <w:p w14:paraId="37068D4F" w14:textId="77777777" w:rsidR="00D826B5" w:rsidRDefault="00000000">
      <w:pPr>
        <w:rPr>
          <w:b/>
          <w:sz w:val="16"/>
          <w:szCs w:val="16"/>
        </w:rPr>
      </w:pPr>
      <w:r>
        <w:rPr>
          <w:b/>
          <w:sz w:val="16"/>
          <w:szCs w:val="16"/>
        </w:rPr>
        <w:t>Anticoagulant guidelines for pulling epidurals/nerve catheters:</w:t>
      </w:r>
    </w:p>
    <w:p w14:paraId="1167E9EB" w14:textId="77777777" w:rsidR="00D826B5" w:rsidRDefault="00000000">
      <w:pPr>
        <w:rPr>
          <w:sz w:val="16"/>
          <w:szCs w:val="16"/>
          <w:u w:val="single"/>
        </w:rPr>
      </w:pPr>
      <w:r>
        <w:rPr>
          <w:sz w:val="16"/>
          <w:szCs w:val="16"/>
          <w:u w:val="single"/>
        </w:rPr>
        <w:t>Heparin (SQ)</w:t>
      </w:r>
    </w:p>
    <w:p w14:paraId="5A858428" w14:textId="76CF8D44" w:rsidR="00D826B5" w:rsidRDefault="00000000">
      <w:pPr>
        <w:rPr>
          <w:sz w:val="16"/>
          <w:szCs w:val="16"/>
        </w:rPr>
      </w:pPr>
      <w:r>
        <w:rPr>
          <w:sz w:val="16"/>
          <w:szCs w:val="16"/>
        </w:rPr>
        <w:t xml:space="preserve">- BID and TID dosing requires that last dose be held for 4-6 hours before pulling catheter. Next dose can be given </w:t>
      </w:r>
      <w:r w:rsidR="00B83559">
        <w:rPr>
          <w:sz w:val="16"/>
          <w:szCs w:val="16"/>
        </w:rPr>
        <w:t>immediately</w:t>
      </w:r>
      <w:r>
        <w:rPr>
          <w:sz w:val="16"/>
          <w:szCs w:val="16"/>
        </w:rPr>
        <w:t xml:space="preserve"> after catheter pulled.</w:t>
      </w:r>
    </w:p>
    <w:p w14:paraId="4F2BDDAE" w14:textId="77777777" w:rsidR="00D826B5" w:rsidRDefault="00000000">
      <w:pPr>
        <w:rPr>
          <w:sz w:val="16"/>
          <w:szCs w:val="16"/>
        </w:rPr>
      </w:pPr>
      <w:r>
        <w:rPr>
          <w:sz w:val="16"/>
          <w:szCs w:val="16"/>
        </w:rPr>
        <w:t>*If the patient has been on heparin for ≥ 5 days, check CBC to ensure platelets are &gt; 70</w:t>
      </w:r>
    </w:p>
    <w:p w14:paraId="60E42C4F" w14:textId="77777777" w:rsidR="00D826B5" w:rsidRDefault="00000000">
      <w:pPr>
        <w:rPr>
          <w:sz w:val="16"/>
          <w:szCs w:val="16"/>
        </w:rPr>
      </w:pPr>
      <w:r>
        <w:rPr>
          <w:sz w:val="16"/>
          <w:szCs w:val="16"/>
          <w:u w:val="single"/>
        </w:rPr>
        <w:t>Heparin (IV)</w:t>
      </w:r>
    </w:p>
    <w:p w14:paraId="2C84B335" w14:textId="77777777" w:rsidR="00D826B5" w:rsidRDefault="00000000">
      <w:pPr>
        <w:rPr>
          <w:sz w:val="16"/>
          <w:szCs w:val="16"/>
        </w:rPr>
      </w:pPr>
      <w:r>
        <w:rPr>
          <w:sz w:val="16"/>
          <w:szCs w:val="16"/>
        </w:rPr>
        <w:t>- Determine if you will be able to stop heparin once started. If not, or if transition will be to another anticoagulant, then pull catheter before starting infusion.</w:t>
      </w:r>
    </w:p>
    <w:p w14:paraId="79DBD04B" w14:textId="77777777" w:rsidR="00D826B5" w:rsidRDefault="00000000">
      <w:pPr>
        <w:rPr>
          <w:sz w:val="16"/>
          <w:szCs w:val="16"/>
        </w:rPr>
      </w:pPr>
      <w:r>
        <w:rPr>
          <w:sz w:val="16"/>
          <w:szCs w:val="16"/>
        </w:rPr>
        <w:t>- Pulling catheter needs to be coordinated with the primary team.</w:t>
      </w:r>
    </w:p>
    <w:p w14:paraId="00D2B780" w14:textId="77777777" w:rsidR="00D826B5" w:rsidRDefault="00000000">
      <w:pPr>
        <w:rPr>
          <w:sz w:val="16"/>
          <w:szCs w:val="16"/>
        </w:rPr>
      </w:pPr>
      <w:r>
        <w:rPr>
          <w:sz w:val="16"/>
          <w:szCs w:val="16"/>
        </w:rPr>
        <w:t>- Hold heparin for 4 hours.</w:t>
      </w:r>
    </w:p>
    <w:p w14:paraId="2ED64C7E" w14:textId="77777777" w:rsidR="00D826B5" w:rsidRDefault="00000000">
      <w:pPr>
        <w:rPr>
          <w:sz w:val="16"/>
          <w:szCs w:val="16"/>
        </w:rPr>
      </w:pPr>
      <w:r>
        <w:rPr>
          <w:sz w:val="16"/>
          <w:szCs w:val="16"/>
        </w:rPr>
        <w:t>- Check PTT.</w:t>
      </w:r>
    </w:p>
    <w:p w14:paraId="6E4150F1" w14:textId="77777777" w:rsidR="00D826B5" w:rsidRDefault="00000000">
      <w:pPr>
        <w:rPr>
          <w:sz w:val="16"/>
          <w:szCs w:val="16"/>
        </w:rPr>
      </w:pPr>
      <w:r>
        <w:rPr>
          <w:sz w:val="16"/>
          <w:szCs w:val="16"/>
        </w:rPr>
        <w:t>- If PTT normal, pull catheter.</w:t>
      </w:r>
    </w:p>
    <w:p w14:paraId="5ACB2AB8" w14:textId="77777777" w:rsidR="00D826B5" w:rsidRDefault="00000000">
      <w:pPr>
        <w:rPr>
          <w:sz w:val="16"/>
          <w:szCs w:val="16"/>
        </w:rPr>
      </w:pPr>
      <w:r>
        <w:rPr>
          <w:sz w:val="16"/>
          <w:szCs w:val="16"/>
        </w:rPr>
        <w:t>- Can restart heparin infusion 1 hour after catheter pulled.</w:t>
      </w:r>
    </w:p>
    <w:p w14:paraId="3F32AC23" w14:textId="77777777" w:rsidR="00D826B5" w:rsidRDefault="00000000">
      <w:pPr>
        <w:rPr>
          <w:sz w:val="16"/>
          <w:szCs w:val="16"/>
          <w:u w:val="single"/>
        </w:rPr>
      </w:pPr>
      <w:r>
        <w:rPr>
          <w:sz w:val="16"/>
          <w:szCs w:val="16"/>
          <w:u w:val="single"/>
        </w:rPr>
        <w:t>LMWH</w:t>
      </w:r>
    </w:p>
    <w:p w14:paraId="160285A5" w14:textId="77777777" w:rsidR="00D826B5" w:rsidRDefault="00000000">
      <w:pPr>
        <w:rPr>
          <w:sz w:val="16"/>
          <w:szCs w:val="16"/>
        </w:rPr>
      </w:pPr>
      <w:r>
        <w:rPr>
          <w:sz w:val="16"/>
          <w:szCs w:val="16"/>
        </w:rPr>
        <w:t xml:space="preserve">- For QD prophylactic LMWH (&lt; 60 mg QD) hold for 12 hours before pulling catheter. Next dose can be administered 4 hours after catheter pulled. </w:t>
      </w:r>
    </w:p>
    <w:p w14:paraId="79CDD6FE" w14:textId="77777777" w:rsidR="00D826B5" w:rsidRDefault="00000000">
      <w:pPr>
        <w:rPr>
          <w:sz w:val="16"/>
          <w:szCs w:val="16"/>
        </w:rPr>
      </w:pPr>
      <w:r>
        <w:rPr>
          <w:sz w:val="16"/>
          <w:szCs w:val="16"/>
        </w:rPr>
        <w:t>- Patients with epidurals should never be on therapeutic LMWH or BID prophylactic LMWH.</w:t>
      </w:r>
    </w:p>
    <w:p w14:paraId="68BDB61F" w14:textId="77777777" w:rsidR="00D826B5" w:rsidRDefault="00000000">
      <w:pPr>
        <w:rPr>
          <w:sz w:val="16"/>
          <w:szCs w:val="16"/>
        </w:rPr>
      </w:pPr>
      <w:r>
        <w:rPr>
          <w:sz w:val="16"/>
          <w:szCs w:val="16"/>
        </w:rPr>
        <w:t>- Treat paravertebrals as neuraxial.</w:t>
      </w:r>
    </w:p>
    <w:p w14:paraId="5100BA2C" w14:textId="77777777" w:rsidR="00D826B5" w:rsidRDefault="00000000">
      <w:pPr>
        <w:rPr>
          <w:sz w:val="16"/>
          <w:szCs w:val="16"/>
        </w:rPr>
      </w:pPr>
      <w:r>
        <w:rPr>
          <w:sz w:val="16"/>
          <w:szCs w:val="16"/>
        </w:rPr>
        <w:t>- Other nerve blocks will be determined on a case-by-case basis.</w:t>
      </w:r>
    </w:p>
    <w:p w14:paraId="23F30DF1" w14:textId="77777777" w:rsidR="00D826B5" w:rsidRDefault="00D826B5">
      <w:pPr>
        <w:rPr>
          <w:b/>
          <w:sz w:val="16"/>
          <w:szCs w:val="16"/>
        </w:rPr>
      </w:pPr>
    </w:p>
    <w:p w14:paraId="3E6A95DE" w14:textId="77777777" w:rsidR="00D826B5" w:rsidRDefault="00000000">
      <w:pPr>
        <w:rPr>
          <w:b/>
          <w:sz w:val="16"/>
          <w:szCs w:val="16"/>
        </w:rPr>
      </w:pPr>
      <w:r>
        <w:rPr>
          <w:b/>
          <w:sz w:val="16"/>
          <w:szCs w:val="16"/>
        </w:rPr>
        <w:t>Important contact information:</w:t>
      </w:r>
    </w:p>
    <w:tbl>
      <w:tblPr>
        <w:tblStyle w:val="a1"/>
        <w:tblW w:w="3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2050"/>
      </w:tblGrid>
      <w:tr w:rsidR="00F52FF0" w14:paraId="45E7CA24" w14:textId="77777777">
        <w:trPr>
          <w:trHeight w:val="202"/>
          <w:jc w:val="center"/>
        </w:trPr>
        <w:tc>
          <w:tcPr>
            <w:tcW w:w="1871" w:type="dxa"/>
          </w:tcPr>
          <w:p w14:paraId="3EDDFBDB" w14:textId="2604EAB5" w:rsidR="00F52FF0" w:rsidRDefault="00F52FF0">
            <w:pPr>
              <w:rPr>
                <w:sz w:val="16"/>
                <w:szCs w:val="16"/>
              </w:rPr>
            </w:pPr>
            <w:r>
              <w:rPr>
                <w:sz w:val="16"/>
                <w:szCs w:val="16"/>
              </w:rPr>
              <w:t>Dr. Gerner</w:t>
            </w:r>
          </w:p>
        </w:tc>
        <w:tc>
          <w:tcPr>
            <w:tcW w:w="2050" w:type="dxa"/>
          </w:tcPr>
          <w:p w14:paraId="3E544222" w14:textId="77777777" w:rsidR="00F52FF0" w:rsidRDefault="00F52FF0" w:rsidP="00F52FF0">
            <w:pPr>
              <w:rPr>
                <w:sz w:val="16"/>
                <w:szCs w:val="16"/>
              </w:rPr>
            </w:pPr>
            <w:r>
              <w:rPr>
                <w:sz w:val="16"/>
                <w:szCs w:val="16"/>
              </w:rPr>
              <w:t>Pager: 25005</w:t>
            </w:r>
          </w:p>
          <w:p w14:paraId="6513DBE5" w14:textId="4179F03D" w:rsidR="00F52FF0" w:rsidRDefault="00F52FF0" w:rsidP="00F52FF0">
            <w:pPr>
              <w:rPr>
                <w:sz w:val="16"/>
                <w:szCs w:val="16"/>
              </w:rPr>
            </w:pPr>
            <w:r>
              <w:rPr>
                <w:sz w:val="16"/>
                <w:szCs w:val="16"/>
              </w:rPr>
              <w:t>Cell: 617-610-6651</w:t>
            </w:r>
          </w:p>
        </w:tc>
      </w:tr>
      <w:tr w:rsidR="00D826B5" w14:paraId="767CBBB6" w14:textId="77777777">
        <w:trPr>
          <w:trHeight w:val="202"/>
          <w:jc w:val="center"/>
        </w:trPr>
        <w:tc>
          <w:tcPr>
            <w:tcW w:w="1871" w:type="dxa"/>
          </w:tcPr>
          <w:p w14:paraId="1A042BC9" w14:textId="2625A049" w:rsidR="00D826B5" w:rsidRDefault="009E4B6F">
            <w:pPr>
              <w:rPr>
                <w:sz w:val="16"/>
                <w:szCs w:val="16"/>
              </w:rPr>
            </w:pPr>
            <w:r>
              <w:rPr>
                <w:sz w:val="16"/>
                <w:szCs w:val="16"/>
              </w:rPr>
              <w:t xml:space="preserve">Dr. </w:t>
            </w:r>
            <w:r w:rsidR="0012533A">
              <w:rPr>
                <w:sz w:val="16"/>
                <w:szCs w:val="16"/>
              </w:rPr>
              <w:t>Joudeh</w:t>
            </w:r>
          </w:p>
        </w:tc>
        <w:tc>
          <w:tcPr>
            <w:tcW w:w="2050" w:type="dxa"/>
          </w:tcPr>
          <w:p w14:paraId="2D107219" w14:textId="69CF6362" w:rsidR="00D826B5" w:rsidRDefault="00000000">
            <w:pPr>
              <w:rPr>
                <w:sz w:val="16"/>
                <w:szCs w:val="16"/>
              </w:rPr>
            </w:pPr>
            <w:r>
              <w:rPr>
                <w:sz w:val="16"/>
                <w:szCs w:val="16"/>
              </w:rPr>
              <w:t>Pager:</w:t>
            </w:r>
            <w:r w:rsidR="008160C9">
              <w:rPr>
                <w:sz w:val="16"/>
                <w:szCs w:val="16"/>
              </w:rPr>
              <w:t xml:space="preserve"> </w:t>
            </w:r>
            <w:r w:rsidR="008D5A4A">
              <w:rPr>
                <w:sz w:val="16"/>
                <w:szCs w:val="16"/>
              </w:rPr>
              <w:t>27788</w:t>
            </w:r>
          </w:p>
          <w:p w14:paraId="6AF5E5C6" w14:textId="6021CB92" w:rsidR="00D826B5" w:rsidRDefault="00000000">
            <w:pPr>
              <w:rPr>
                <w:sz w:val="16"/>
                <w:szCs w:val="16"/>
              </w:rPr>
            </w:pPr>
            <w:r>
              <w:rPr>
                <w:sz w:val="16"/>
                <w:szCs w:val="16"/>
              </w:rPr>
              <w:t>Cell:</w:t>
            </w:r>
            <w:r w:rsidR="008D5A4A">
              <w:rPr>
                <w:sz w:val="16"/>
                <w:szCs w:val="16"/>
              </w:rPr>
              <w:t xml:space="preserve"> </w:t>
            </w:r>
            <w:r w:rsidR="008D5A4A">
              <w:rPr>
                <w:sz w:val="16"/>
                <w:szCs w:val="16"/>
              </w:rPr>
              <w:t>864-569-7084</w:t>
            </w:r>
            <w:r>
              <w:rPr>
                <w:sz w:val="16"/>
                <w:szCs w:val="16"/>
              </w:rPr>
              <w:t xml:space="preserve"> </w:t>
            </w:r>
          </w:p>
        </w:tc>
      </w:tr>
      <w:tr w:rsidR="00D826B5" w14:paraId="63D908FA" w14:textId="77777777">
        <w:trPr>
          <w:trHeight w:val="202"/>
          <w:jc w:val="center"/>
        </w:trPr>
        <w:tc>
          <w:tcPr>
            <w:tcW w:w="1871" w:type="dxa"/>
          </w:tcPr>
          <w:p w14:paraId="2A3A2CC8" w14:textId="77777777" w:rsidR="00D826B5" w:rsidRDefault="00000000">
            <w:pPr>
              <w:rPr>
                <w:sz w:val="16"/>
                <w:szCs w:val="16"/>
              </w:rPr>
            </w:pPr>
            <w:r>
              <w:rPr>
                <w:sz w:val="16"/>
                <w:szCs w:val="16"/>
              </w:rPr>
              <w:t>Dr. Kamdar</w:t>
            </w:r>
          </w:p>
        </w:tc>
        <w:tc>
          <w:tcPr>
            <w:tcW w:w="2050" w:type="dxa"/>
          </w:tcPr>
          <w:p w14:paraId="14D4AB48" w14:textId="77777777" w:rsidR="00D826B5" w:rsidRDefault="00000000">
            <w:pPr>
              <w:rPr>
                <w:sz w:val="16"/>
                <w:szCs w:val="16"/>
              </w:rPr>
            </w:pPr>
            <w:r>
              <w:rPr>
                <w:sz w:val="16"/>
                <w:szCs w:val="16"/>
              </w:rPr>
              <w:t>Pager: 22707</w:t>
            </w:r>
          </w:p>
          <w:p w14:paraId="3DBBAC98" w14:textId="77777777" w:rsidR="00D826B5" w:rsidRDefault="00000000">
            <w:pPr>
              <w:rPr>
                <w:sz w:val="16"/>
                <w:szCs w:val="16"/>
              </w:rPr>
            </w:pPr>
            <w:r>
              <w:rPr>
                <w:sz w:val="16"/>
                <w:szCs w:val="16"/>
              </w:rPr>
              <w:t>Cell: 408-348-4797</w:t>
            </w:r>
          </w:p>
        </w:tc>
      </w:tr>
      <w:tr w:rsidR="00D826B5" w14:paraId="20449A0E" w14:textId="77777777">
        <w:trPr>
          <w:trHeight w:val="389"/>
          <w:jc w:val="center"/>
        </w:trPr>
        <w:tc>
          <w:tcPr>
            <w:tcW w:w="1871" w:type="dxa"/>
          </w:tcPr>
          <w:p w14:paraId="183A3CC8" w14:textId="497F3033" w:rsidR="00D826B5" w:rsidRDefault="00902CFC">
            <w:pPr>
              <w:rPr>
                <w:sz w:val="16"/>
                <w:szCs w:val="16"/>
              </w:rPr>
            </w:pPr>
            <w:r>
              <w:rPr>
                <w:sz w:val="16"/>
                <w:szCs w:val="16"/>
              </w:rPr>
              <w:t>Dr. McCurry</w:t>
            </w:r>
          </w:p>
        </w:tc>
        <w:tc>
          <w:tcPr>
            <w:tcW w:w="2050" w:type="dxa"/>
          </w:tcPr>
          <w:p w14:paraId="0D3A95F5" w14:textId="575921C5" w:rsidR="00D826B5" w:rsidRDefault="00000000">
            <w:pPr>
              <w:rPr>
                <w:sz w:val="16"/>
                <w:szCs w:val="16"/>
              </w:rPr>
            </w:pPr>
            <w:r>
              <w:rPr>
                <w:sz w:val="16"/>
                <w:szCs w:val="16"/>
              </w:rPr>
              <w:t xml:space="preserve">Pager: </w:t>
            </w:r>
            <w:r w:rsidR="008D5A4A">
              <w:rPr>
                <w:sz w:val="16"/>
                <w:szCs w:val="16"/>
              </w:rPr>
              <w:t>25588</w:t>
            </w:r>
          </w:p>
          <w:p w14:paraId="1B978E8E" w14:textId="41F5190B" w:rsidR="00D826B5" w:rsidRDefault="00000000">
            <w:pPr>
              <w:rPr>
                <w:sz w:val="16"/>
                <w:szCs w:val="16"/>
              </w:rPr>
            </w:pPr>
            <w:r>
              <w:rPr>
                <w:sz w:val="16"/>
                <w:szCs w:val="16"/>
              </w:rPr>
              <w:t xml:space="preserve">Cell: </w:t>
            </w:r>
            <w:r w:rsidR="008D5A4A">
              <w:rPr>
                <w:sz w:val="16"/>
                <w:szCs w:val="16"/>
              </w:rPr>
              <w:t>517-256-6383</w:t>
            </w:r>
          </w:p>
        </w:tc>
      </w:tr>
      <w:tr w:rsidR="00D826B5" w14:paraId="54113808" w14:textId="77777777">
        <w:trPr>
          <w:trHeight w:val="202"/>
          <w:jc w:val="center"/>
        </w:trPr>
        <w:tc>
          <w:tcPr>
            <w:tcW w:w="1871" w:type="dxa"/>
          </w:tcPr>
          <w:p w14:paraId="02D6D4F8" w14:textId="77777777" w:rsidR="00D826B5" w:rsidRDefault="00000000">
            <w:pPr>
              <w:rPr>
                <w:sz w:val="16"/>
                <w:szCs w:val="16"/>
              </w:rPr>
            </w:pPr>
            <w:r>
              <w:rPr>
                <w:sz w:val="16"/>
                <w:szCs w:val="16"/>
              </w:rPr>
              <w:t>Dr. McDowell</w:t>
            </w:r>
          </w:p>
        </w:tc>
        <w:tc>
          <w:tcPr>
            <w:tcW w:w="2050" w:type="dxa"/>
          </w:tcPr>
          <w:p w14:paraId="06B4E552" w14:textId="77777777" w:rsidR="00D826B5" w:rsidRDefault="00000000">
            <w:pPr>
              <w:rPr>
                <w:sz w:val="16"/>
                <w:szCs w:val="16"/>
              </w:rPr>
            </w:pPr>
            <w:r>
              <w:rPr>
                <w:sz w:val="16"/>
                <w:szCs w:val="16"/>
              </w:rPr>
              <w:t xml:space="preserve">Pager: </w:t>
            </w:r>
            <w:r w:rsidR="008160C9">
              <w:rPr>
                <w:sz w:val="16"/>
                <w:szCs w:val="16"/>
              </w:rPr>
              <w:t>21139</w:t>
            </w:r>
          </w:p>
          <w:p w14:paraId="64CE293F" w14:textId="77777777" w:rsidR="00D826B5" w:rsidRDefault="00000000">
            <w:pPr>
              <w:rPr>
                <w:sz w:val="16"/>
                <w:szCs w:val="16"/>
              </w:rPr>
            </w:pPr>
            <w:r>
              <w:rPr>
                <w:sz w:val="16"/>
                <w:szCs w:val="16"/>
              </w:rPr>
              <w:t>Cell: 313-407-6616</w:t>
            </w:r>
          </w:p>
        </w:tc>
      </w:tr>
      <w:tr w:rsidR="00D826B5" w14:paraId="7E7CC482" w14:textId="77777777">
        <w:trPr>
          <w:trHeight w:val="202"/>
          <w:jc w:val="center"/>
        </w:trPr>
        <w:tc>
          <w:tcPr>
            <w:tcW w:w="1871" w:type="dxa"/>
          </w:tcPr>
          <w:p w14:paraId="339F79E0" w14:textId="77777777" w:rsidR="00D826B5" w:rsidRDefault="00000000">
            <w:pPr>
              <w:rPr>
                <w:sz w:val="16"/>
                <w:szCs w:val="16"/>
              </w:rPr>
            </w:pPr>
            <w:r>
              <w:rPr>
                <w:sz w:val="16"/>
                <w:szCs w:val="16"/>
              </w:rPr>
              <w:t xml:space="preserve">Dr. Priya </w:t>
            </w:r>
          </w:p>
        </w:tc>
        <w:tc>
          <w:tcPr>
            <w:tcW w:w="2050" w:type="dxa"/>
          </w:tcPr>
          <w:p w14:paraId="08136098" w14:textId="77777777" w:rsidR="00D826B5" w:rsidRDefault="00000000">
            <w:pPr>
              <w:rPr>
                <w:sz w:val="16"/>
                <w:szCs w:val="16"/>
              </w:rPr>
            </w:pPr>
            <w:r>
              <w:rPr>
                <w:sz w:val="16"/>
                <w:szCs w:val="16"/>
              </w:rPr>
              <w:t>Pager:</w:t>
            </w:r>
            <w:r w:rsidR="008160C9">
              <w:rPr>
                <w:sz w:val="16"/>
                <w:szCs w:val="16"/>
              </w:rPr>
              <w:t xml:space="preserve"> 20252</w:t>
            </w:r>
          </w:p>
          <w:p w14:paraId="6A6D4F01" w14:textId="77777777" w:rsidR="00D826B5" w:rsidRDefault="00000000">
            <w:pPr>
              <w:rPr>
                <w:sz w:val="16"/>
                <w:szCs w:val="16"/>
              </w:rPr>
            </w:pPr>
            <w:r>
              <w:rPr>
                <w:sz w:val="16"/>
                <w:szCs w:val="16"/>
              </w:rPr>
              <w:t>Cell:</w:t>
            </w:r>
            <w:r w:rsidR="008160C9">
              <w:rPr>
                <w:sz w:val="16"/>
                <w:szCs w:val="16"/>
              </w:rPr>
              <w:t xml:space="preserve"> 224-795-0469</w:t>
            </w:r>
          </w:p>
        </w:tc>
      </w:tr>
      <w:tr w:rsidR="00D826B5" w14:paraId="5A254847" w14:textId="77777777">
        <w:trPr>
          <w:trHeight w:val="404"/>
          <w:jc w:val="center"/>
        </w:trPr>
        <w:tc>
          <w:tcPr>
            <w:tcW w:w="1871" w:type="dxa"/>
          </w:tcPr>
          <w:p w14:paraId="138BA5B1" w14:textId="77777777" w:rsidR="00D826B5" w:rsidRDefault="00000000">
            <w:pPr>
              <w:rPr>
                <w:sz w:val="16"/>
                <w:szCs w:val="16"/>
              </w:rPr>
            </w:pPr>
            <w:r>
              <w:rPr>
                <w:sz w:val="16"/>
                <w:szCs w:val="16"/>
              </w:rPr>
              <w:t>Dr. Sabouri</w:t>
            </w:r>
          </w:p>
        </w:tc>
        <w:tc>
          <w:tcPr>
            <w:tcW w:w="2050" w:type="dxa"/>
          </w:tcPr>
          <w:p w14:paraId="6F603184" w14:textId="77777777" w:rsidR="00D826B5" w:rsidRDefault="00000000">
            <w:pPr>
              <w:rPr>
                <w:sz w:val="16"/>
                <w:szCs w:val="16"/>
              </w:rPr>
            </w:pPr>
            <w:r>
              <w:rPr>
                <w:sz w:val="16"/>
                <w:szCs w:val="16"/>
              </w:rPr>
              <w:t>Pager: 21750</w:t>
            </w:r>
          </w:p>
          <w:p w14:paraId="58589A53" w14:textId="77777777" w:rsidR="00D826B5" w:rsidRDefault="00000000">
            <w:pPr>
              <w:rPr>
                <w:sz w:val="16"/>
                <w:szCs w:val="16"/>
              </w:rPr>
            </w:pPr>
            <w:r>
              <w:rPr>
                <w:sz w:val="16"/>
                <w:szCs w:val="16"/>
              </w:rPr>
              <w:t>Cell: 617-775-3260</w:t>
            </w:r>
          </w:p>
        </w:tc>
      </w:tr>
      <w:tr w:rsidR="00D826B5" w14:paraId="41A77395" w14:textId="77777777">
        <w:trPr>
          <w:trHeight w:val="404"/>
          <w:jc w:val="center"/>
        </w:trPr>
        <w:tc>
          <w:tcPr>
            <w:tcW w:w="1871" w:type="dxa"/>
          </w:tcPr>
          <w:p w14:paraId="6352BBBC" w14:textId="77777777" w:rsidR="00D826B5" w:rsidRDefault="00000000">
            <w:pPr>
              <w:rPr>
                <w:sz w:val="16"/>
                <w:szCs w:val="16"/>
              </w:rPr>
            </w:pPr>
            <w:r>
              <w:rPr>
                <w:sz w:val="16"/>
                <w:szCs w:val="16"/>
              </w:rPr>
              <w:t>Dr. Stefanovich</w:t>
            </w:r>
          </w:p>
        </w:tc>
        <w:tc>
          <w:tcPr>
            <w:tcW w:w="2050" w:type="dxa"/>
          </w:tcPr>
          <w:p w14:paraId="77F9035F" w14:textId="77777777" w:rsidR="00D826B5" w:rsidRDefault="00000000">
            <w:pPr>
              <w:rPr>
                <w:sz w:val="16"/>
                <w:szCs w:val="16"/>
              </w:rPr>
            </w:pPr>
            <w:r>
              <w:rPr>
                <w:sz w:val="16"/>
                <w:szCs w:val="16"/>
              </w:rPr>
              <w:t>Pager: 35682</w:t>
            </w:r>
          </w:p>
          <w:p w14:paraId="270338D1" w14:textId="77777777" w:rsidR="00D826B5" w:rsidRDefault="00000000">
            <w:pPr>
              <w:rPr>
                <w:sz w:val="16"/>
                <w:szCs w:val="16"/>
              </w:rPr>
            </w:pPr>
            <w:r>
              <w:rPr>
                <w:sz w:val="16"/>
                <w:szCs w:val="16"/>
              </w:rPr>
              <w:t>Cell: 617-909-5988</w:t>
            </w:r>
          </w:p>
        </w:tc>
      </w:tr>
      <w:tr w:rsidR="00D826B5" w14:paraId="0FA06EA4" w14:textId="77777777">
        <w:trPr>
          <w:trHeight w:val="269"/>
          <w:jc w:val="center"/>
        </w:trPr>
        <w:tc>
          <w:tcPr>
            <w:tcW w:w="1871" w:type="dxa"/>
            <w:tcBorders>
              <w:top w:val="single" w:sz="4" w:space="0" w:color="000000"/>
              <w:left w:val="single" w:sz="4" w:space="0" w:color="000000"/>
              <w:bottom w:val="single" w:sz="4" w:space="0" w:color="000000"/>
              <w:right w:val="single" w:sz="4" w:space="0" w:color="000000"/>
            </w:tcBorders>
          </w:tcPr>
          <w:p w14:paraId="67246DBD" w14:textId="77777777" w:rsidR="00D826B5" w:rsidRDefault="00000000">
            <w:pPr>
              <w:rPr>
                <w:sz w:val="16"/>
                <w:szCs w:val="16"/>
              </w:rPr>
            </w:pPr>
            <w:r>
              <w:rPr>
                <w:sz w:val="16"/>
                <w:szCs w:val="16"/>
              </w:rPr>
              <w:t>Dr. Wang</w:t>
            </w:r>
          </w:p>
        </w:tc>
        <w:tc>
          <w:tcPr>
            <w:tcW w:w="2050" w:type="dxa"/>
            <w:tcBorders>
              <w:top w:val="single" w:sz="4" w:space="0" w:color="000000"/>
              <w:left w:val="single" w:sz="4" w:space="0" w:color="000000"/>
              <w:bottom w:val="single" w:sz="4" w:space="0" w:color="000000"/>
              <w:right w:val="single" w:sz="4" w:space="0" w:color="000000"/>
            </w:tcBorders>
          </w:tcPr>
          <w:p w14:paraId="7B92E4E4" w14:textId="77777777" w:rsidR="00D826B5" w:rsidRDefault="00000000">
            <w:pPr>
              <w:rPr>
                <w:sz w:val="16"/>
                <w:szCs w:val="16"/>
              </w:rPr>
            </w:pPr>
            <w:r>
              <w:rPr>
                <w:sz w:val="16"/>
                <w:szCs w:val="16"/>
              </w:rPr>
              <w:t>Pager: 13323</w:t>
            </w:r>
          </w:p>
          <w:p w14:paraId="4D63FAFC" w14:textId="77777777" w:rsidR="00D826B5" w:rsidRDefault="00000000">
            <w:pPr>
              <w:rPr>
                <w:sz w:val="16"/>
                <w:szCs w:val="16"/>
              </w:rPr>
            </w:pPr>
            <w:r>
              <w:rPr>
                <w:sz w:val="16"/>
                <w:szCs w:val="16"/>
              </w:rPr>
              <w:t>Cell: 978-809-9368</w:t>
            </w:r>
          </w:p>
        </w:tc>
      </w:tr>
      <w:tr w:rsidR="00D826B5" w14:paraId="4CF29E81" w14:textId="77777777">
        <w:trPr>
          <w:trHeight w:val="150"/>
          <w:jc w:val="center"/>
        </w:trPr>
        <w:tc>
          <w:tcPr>
            <w:tcW w:w="1871" w:type="dxa"/>
            <w:tcBorders>
              <w:top w:val="single" w:sz="4" w:space="0" w:color="000000"/>
              <w:left w:val="single" w:sz="4" w:space="0" w:color="000000"/>
              <w:bottom w:val="single" w:sz="4" w:space="0" w:color="000000"/>
              <w:right w:val="single" w:sz="4" w:space="0" w:color="000000"/>
            </w:tcBorders>
            <w:shd w:val="clear" w:color="auto" w:fill="808080"/>
          </w:tcPr>
          <w:p w14:paraId="18C13BEF" w14:textId="77777777" w:rsidR="00D826B5" w:rsidRDefault="00D826B5">
            <w:pPr>
              <w:rPr>
                <w:sz w:val="16"/>
                <w:szCs w:val="16"/>
              </w:rPr>
            </w:pPr>
          </w:p>
        </w:tc>
        <w:tc>
          <w:tcPr>
            <w:tcW w:w="2050" w:type="dxa"/>
            <w:tcBorders>
              <w:top w:val="single" w:sz="4" w:space="0" w:color="000000"/>
              <w:left w:val="single" w:sz="4" w:space="0" w:color="000000"/>
              <w:bottom w:val="single" w:sz="4" w:space="0" w:color="000000"/>
              <w:right w:val="single" w:sz="4" w:space="0" w:color="000000"/>
            </w:tcBorders>
            <w:shd w:val="clear" w:color="auto" w:fill="808080"/>
          </w:tcPr>
          <w:p w14:paraId="4824F5B3" w14:textId="77777777" w:rsidR="00D826B5" w:rsidRDefault="00D826B5">
            <w:pPr>
              <w:rPr>
                <w:sz w:val="16"/>
                <w:szCs w:val="16"/>
              </w:rPr>
            </w:pPr>
          </w:p>
        </w:tc>
      </w:tr>
      <w:tr w:rsidR="00D826B5" w14:paraId="425C1C4C" w14:textId="77777777">
        <w:trPr>
          <w:trHeight w:val="255"/>
          <w:jc w:val="center"/>
        </w:trPr>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12B7A9D6" w14:textId="1A4AD251" w:rsidR="00D826B5" w:rsidRDefault="00000000">
            <w:pPr>
              <w:rPr>
                <w:sz w:val="16"/>
                <w:szCs w:val="16"/>
              </w:rPr>
            </w:pPr>
            <w:r>
              <w:rPr>
                <w:sz w:val="16"/>
                <w:szCs w:val="16"/>
              </w:rPr>
              <w:t xml:space="preserve">Dr. </w:t>
            </w:r>
            <w:r w:rsidR="00F52FF0">
              <w:rPr>
                <w:sz w:val="16"/>
                <w:szCs w:val="16"/>
              </w:rPr>
              <w:t>Chen</w:t>
            </w:r>
            <w:r>
              <w:rPr>
                <w:sz w:val="16"/>
                <w:szCs w:val="16"/>
              </w:rPr>
              <w:t xml:space="preserve"> (Fellow)</w:t>
            </w: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14:paraId="2AFB2A98" w14:textId="5C2A1BB8" w:rsidR="00D826B5" w:rsidRDefault="00000000">
            <w:pPr>
              <w:rPr>
                <w:sz w:val="16"/>
                <w:szCs w:val="16"/>
              </w:rPr>
            </w:pPr>
            <w:r>
              <w:rPr>
                <w:sz w:val="16"/>
                <w:szCs w:val="16"/>
              </w:rPr>
              <w:t>Pager:</w:t>
            </w:r>
            <w:r w:rsidR="007716DE">
              <w:rPr>
                <w:sz w:val="16"/>
                <w:szCs w:val="16"/>
              </w:rPr>
              <w:t xml:space="preserve"> </w:t>
            </w:r>
            <w:r w:rsidR="007716DE" w:rsidRPr="007716DE">
              <w:rPr>
                <w:sz w:val="16"/>
                <w:szCs w:val="16"/>
              </w:rPr>
              <w:t>20475</w:t>
            </w:r>
            <w:r w:rsidR="00F52FF0">
              <w:rPr>
                <w:sz w:val="16"/>
                <w:szCs w:val="16"/>
              </w:rPr>
              <w:t xml:space="preserve"> </w:t>
            </w:r>
            <w:r w:rsidR="008160C9">
              <w:rPr>
                <w:sz w:val="16"/>
                <w:szCs w:val="16"/>
              </w:rPr>
              <w:t xml:space="preserve"> </w:t>
            </w:r>
          </w:p>
          <w:p w14:paraId="009DD760" w14:textId="2CC3D580" w:rsidR="00D826B5" w:rsidRDefault="00000000">
            <w:pPr>
              <w:rPr>
                <w:sz w:val="16"/>
                <w:szCs w:val="16"/>
              </w:rPr>
            </w:pPr>
            <w:r>
              <w:rPr>
                <w:sz w:val="16"/>
                <w:szCs w:val="16"/>
              </w:rPr>
              <w:t>Cell:</w:t>
            </w:r>
            <w:r w:rsidR="007716DE">
              <w:rPr>
                <w:sz w:val="16"/>
                <w:szCs w:val="16"/>
              </w:rPr>
              <w:t xml:space="preserve"> </w:t>
            </w:r>
            <w:r w:rsidR="002505DF">
              <w:rPr>
                <w:sz w:val="16"/>
                <w:szCs w:val="16"/>
              </w:rPr>
              <w:t>402-301-7102</w:t>
            </w:r>
            <w:r w:rsidR="008160C9">
              <w:rPr>
                <w:sz w:val="16"/>
                <w:szCs w:val="16"/>
              </w:rPr>
              <w:t xml:space="preserve"> </w:t>
            </w:r>
          </w:p>
        </w:tc>
      </w:tr>
      <w:tr w:rsidR="00D826B5" w14:paraId="4F3CB1C2" w14:textId="77777777">
        <w:trPr>
          <w:trHeight w:val="255"/>
          <w:jc w:val="center"/>
        </w:trPr>
        <w:tc>
          <w:tcPr>
            <w:tcW w:w="1871" w:type="dxa"/>
            <w:tcBorders>
              <w:top w:val="single" w:sz="4" w:space="0" w:color="000000"/>
              <w:left w:val="single" w:sz="4" w:space="0" w:color="000000"/>
              <w:bottom w:val="single" w:sz="4" w:space="0" w:color="000000"/>
              <w:right w:val="single" w:sz="4" w:space="0" w:color="000000"/>
            </w:tcBorders>
            <w:shd w:val="clear" w:color="auto" w:fill="FFFFFF"/>
          </w:tcPr>
          <w:p w14:paraId="62B65FB5" w14:textId="44B6A172" w:rsidR="00D826B5" w:rsidRDefault="00000000">
            <w:pPr>
              <w:rPr>
                <w:sz w:val="16"/>
                <w:szCs w:val="16"/>
              </w:rPr>
            </w:pPr>
            <w:r>
              <w:rPr>
                <w:sz w:val="16"/>
                <w:szCs w:val="16"/>
              </w:rPr>
              <w:t xml:space="preserve">Dr. </w:t>
            </w:r>
            <w:r w:rsidR="00F52FF0">
              <w:rPr>
                <w:sz w:val="16"/>
                <w:szCs w:val="16"/>
              </w:rPr>
              <w:t>Domfe</w:t>
            </w:r>
            <w:r>
              <w:rPr>
                <w:sz w:val="16"/>
                <w:szCs w:val="16"/>
              </w:rPr>
              <w:t xml:space="preserve"> (Fellow)</w:t>
            </w: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14:paraId="09828EBB" w14:textId="59477E17" w:rsidR="00D826B5" w:rsidRDefault="00000000">
            <w:pPr>
              <w:rPr>
                <w:sz w:val="16"/>
                <w:szCs w:val="16"/>
              </w:rPr>
            </w:pPr>
            <w:r>
              <w:rPr>
                <w:sz w:val="16"/>
                <w:szCs w:val="16"/>
              </w:rPr>
              <w:t>Pager:</w:t>
            </w:r>
            <w:r w:rsidR="008160C9">
              <w:rPr>
                <w:sz w:val="16"/>
                <w:szCs w:val="16"/>
              </w:rPr>
              <w:t xml:space="preserve"> </w:t>
            </w:r>
            <w:r w:rsidR="00FA4DD1" w:rsidRPr="00FA4DD1">
              <w:rPr>
                <w:sz w:val="16"/>
                <w:szCs w:val="16"/>
              </w:rPr>
              <w:t>27989</w:t>
            </w:r>
          </w:p>
          <w:p w14:paraId="70AA4597" w14:textId="7434DC81" w:rsidR="00D826B5" w:rsidRDefault="00000000">
            <w:pPr>
              <w:rPr>
                <w:sz w:val="16"/>
                <w:szCs w:val="16"/>
              </w:rPr>
            </w:pPr>
            <w:r>
              <w:rPr>
                <w:sz w:val="16"/>
                <w:szCs w:val="16"/>
              </w:rPr>
              <w:t>Cell:</w:t>
            </w:r>
            <w:r w:rsidR="008160C9">
              <w:rPr>
                <w:sz w:val="16"/>
                <w:szCs w:val="16"/>
              </w:rPr>
              <w:t xml:space="preserve"> </w:t>
            </w:r>
            <w:r w:rsidR="00D344FC">
              <w:rPr>
                <w:sz w:val="16"/>
                <w:szCs w:val="16"/>
              </w:rPr>
              <w:t>347-661-0337</w:t>
            </w:r>
          </w:p>
        </w:tc>
      </w:tr>
      <w:tr w:rsidR="00D826B5" w14:paraId="24EA96FA" w14:textId="77777777">
        <w:trPr>
          <w:trHeight w:val="150"/>
          <w:jc w:val="center"/>
        </w:trPr>
        <w:tc>
          <w:tcPr>
            <w:tcW w:w="1871" w:type="dxa"/>
            <w:tcBorders>
              <w:top w:val="single" w:sz="4" w:space="0" w:color="000000"/>
              <w:left w:val="single" w:sz="4" w:space="0" w:color="000000"/>
              <w:bottom w:val="single" w:sz="4" w:space="0" w:color="000000"/>
              <w:right w:val="single" w:sz="4" w:space="0" w:color="000000"/>
            </w:tcBorders>
            <w:shd w:val="clear" w:color="auto" w:fill="808080"/>
          </w:tcPr>
          <w:p w14:paraId="667C3BB6" w14:textId="77777777" w:rsidR="00D826B5" w:rsidRDefault="00D826B5">
            <w:pPr>
              <w:rPr>
                <w:sz w:val="16"/>
                <w:szCs w:val="16"/>
              </w:rPr>
            </w:pPr>
          </w:p>
        </w:tc>
        <w:tc>
          <w:tcPr>
            <w:tcW w:w="2050" w:type="dxa"/>
            <w:tcBorders>
              <w:top w:val="single" w:sz="4" w:space="0" w:color="000000"/>
              <w:left w:val="single" w:sz="4" w:space="0" w:color="000000"/>
              <w:bottom w:val="single" w:sz="4" w:space="0" w:color="000000"/>
              <w:right w:val="single" w:sz="4" w:space="0" w:color="000000"/>
            </w:tcBorders>
            <w:shd w:val="clear" w:color="auto" w:fill="808080"/>
          </w:tcPr>
          <w:p w14:paraId="470BA5F6" w14:textId="77777777" w:rsidR="00D826B5" w:rsidRDefault="00D826B5">
            <w:pPr>
              <w:rPr>
                <w:sz w:val="16"/>
                <w:szCs w:val="16"/>
              </w:rPr>
            </w:pPr>
          </w:p>
        </w:tc>
      </w:tr>
      <w:tr w:rsidR="00D826B5" w14:paraId="0B4ADE01" w14:textId="77777777">
        <w:trPr>
          <w:trHeight w:val="225"/>
          <w:jc w:val="center"/>
        </w:trPr>
        <w:tc>
          <w:tcPr>
            <w:tcW w:w="1871" w:type="dxa"/>
            <w:tcBorders>
              <w:top w:val="single" w:sz="4" w:space="0" w:color="000000"/>
              <w:left w:val="single" w:sz="4" w:space="0" w:color="000000"/>
              <w:bottom w:val="single" w:sz="4" w:space="0" w:color="000000"/>
              <w:right w:val="single" w:sz="4" w:space="0" w:color="000000"/>
            </w:tcBorders>
          </w:tcPr>
          <w:p w14:paraId="56AEA8AB" w14:textId="77777777" w:rsidR="00D826B5" w:rsidRDefault="00000000">
            <w:pPr>
              <w:rPr>
                <w:sz w:val="16"/>
                <w:szCs w:val="16"/>
              </w:rPr>
            </w:pPr>
            <w:r>
              <w:rPr>
                <w:sz w:val="16"/>
                <w:szCs w:val="16"/>
              </w:rPr>
              <w:t>IPS (Chronic) Pager</w:t>
            </w:r>
          </w:p>
        </w:tc>
        <w:tc>
          <w:tcPr>
            <w:tcW w:w="2050" w:type="dxa"/>
            <w:tcBorders>
              <w:top w:val="single" w:sz="4" w:space="0" w:color="000000"/>
              <w:left w:val="single" w:sz="4" w:space="0" w:color="000000"/>
              <w:bottom w:val="single" w:sz="4" w:space="0" w:color="000000"/>
              <w:right w:val="single" w:sz="4" w:space="0" w:color="000000"/>
            </w:tcBorders>
          </w:tcPr>
          <w:p w14:paraId="05899CA3" w14:textId="77777777" w:rsidR="00D826B5" w:rsidRDefault="00000000">
            <w:pPr>
              <w:rPr>
                <w:sz w:val="16"/>
                <w:szCs w:val="16"/>
              </w:rPr>
            </w:pPr>
            <w:r>
              <w:rPr>
                <w:sz w:val="16"/>
                <w:szCs w:val="16"/>
              </w:rPr>
              <w:t>17246 (1PAIN)</w:t>
            </w:r>
          </w:p>
        </w:tc>
      </w:tr>
      <w:tr w:rsidR="00D826B5" w14:paraId="7A4CE1E5" w14:textId="77777777">
        <w:trPr>
          <w:trHeight w:val="210"/>
          <w:jc w:val="center"/>
        </w:trPr>
        <w:tc>
          <w:tcPr>
            <w:tcW w:w="1871" w:type="dxa"/>
            <w:tcBorders>
              <w:top w:val="single" w:sz="4" w:space="0" w:color="000000"/>
              <w:left w:val="single" w:sz="4" w:space="0" w:color="000000"/>
              <w:bottom w:val="single" w:sz="4" w:space="0" w:color="000000"/>
              <w:right w:val="single" w:sz="4" w:space="0" w:color="000000"/>
            </w:tcBorders>
          </w:tcPr>
          <w:p w14:paraId="52337619" w14:textId="77777777" w:rsidR="00D826B5" w:rsidRDefault="00000000">
            <w:pPr>
              <w:rPr>
                <w:sz w:val="16"/>
                <w:szCs w:val="16"/>
              </w:rPr>
            </w:pPr>
            <w:r>
              <w:rPr>
                <w:sz w:val="16"/>
                <w:szCs w:val="16"/>
              </w:rPr>
              <w:t xml:space="preserve">RAPP (Acute) Pager      </w:t>
            </w:r>
          </w:p>
        </w:tc>
        <w:tc>
          <w:tcPr>
            <w:tcW w:w="2050" w:type="dxa"/>
            <w:tcBorders>
              <w:top w:val="single" w:sz="4" w:space="0" w:color="000000"/>
              <w:left w:val="single" w:sz="4" w:space="0" w:color="000000"/>
              <w:bottom w:val="single" w:sz="4" w:space="0" w:color="000000"/>
              <w:right w:val="single" w:sz="4" w:space="0" w:color="000000"/>
            </w:tcBorders>
          </w:tcPr>
          <w:p w14:paraId="1B467D98" w14:textId="77777777" w:rsidR="00D826B5" w:rsidRDefault="00000000">
            <w:pPr>
              <w:rPr>
                <w:sz w:val="16"/>
                <w:szCs w:val="16"/>
              </w:rPr>
            </w:pPr>
            <w:r>
              <w:rPr>
                <w:sz w:val="16"/>
                <w:szCs w:val="16"/>
              </w:rPr>
              <w:t>27246 (2PAIN)</w:t>
            </w:r>
          </w:p>
        </w:tc>
      </w:tr>
    </w:tbl>
    <w:p w14:paraId="7282F870" w14:textId="77777777" w:rsidR="00D826B5" w:rsidRDefault="00D826B5">
      <w:pPr>
        <w:rPr>
          <w:sz w:val="16"/>
          <w:szCs w:val="16"/>
        </w:rPr>
      </w:pPr>
    </w:p>
    <w:p w14:paraId="2581D068" w14:textId="77777777" w:rsidR="00D826B5" w:rsidRDefault="00000000">
      <w:pPr>
        <w:rPr>
          <w:b/>
          <w:sz w:val="16"/>
          <w:szCs w:val="16"/>
        </w:rPr>
      </w:pPr>
      <w:r>
        <w:rPr>
          <w:b/>
          <w:sz w:val="16"/>
          <w:szCs w:val="16"/>
        </w:rPr>
        <w:t>Wiki</w:t>
      </w:r>
    </w:p>
    <w:p w14:paraId="0024F908" w14:textId="498473DE" w:rsidR="00D826B5" w:rsidRDefault="00D826B5">
      <w:pPr>
        <w:rPr>
          <w:b/>
          <w:sz w:val="16"/>
          <w:szCs w:val="16"/>
        </w:rPr>
      </w:pPr>
      <w:hyperlink r:id="rId8">
        <w:r w:rsidR="00124EF2">
          <w:rPr>
            <w:color w:val="0000FF"/>
            <w:sz w:val="16"/>
            <w:szCs w:val="16"/>
            <w:u w:val="single"/>
          </w:rPr>
          <w:t>https://wikianesthes</w:t>
        </w:r>
        <w:r w:rsidR="00124EF2">
          <w:rPr>
            <w:color w:val="0000FF"/>
            <w:sz w:val="16"/>
            <w:szCs w:val="16"/>
            <w:u w:val="single"/>
          </w:rPr>
          <w:t>ia.org/wiki/PracticeGroup:MGH/Acute_Pain:_Resident_Rotation</w:t>
        </w:r>
      </w:hyperlink>
      <w:r w:rsidR="00000000">
        <w:rPr>
          <w:b/>
          <w:sz w:val="16"/>
          <w:szCs w:val="16"/>
        </w:rPr>
        <w:t xml:space="preserve"> </w:t>
      </w:r>
    </w:p>
    <w:sectPr w:rsidR="00D826B5">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432" w:footer="432" w:gutter="0"/>
      <w:pgNumType w:start="1"/>
      <w:cols w:num="3" w:space="720" w:equalWidth="0">
        <w:col w:w="4320" w:space="72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5C32" w14:textId="77777777" w:rsidR="005722BD" w:rsidRDefault="005722BD">
      <w:r>
        <w:separator/>
      </w:r>
    </w:p>
  </w:endnote>
  <w:endnote w:type="continuationSeparator" w:id="0">
    <w:p w14:paraId="651A4B3E" w14:textId="77777777" w:rsidR="005722BD" w:rsidRDefault="0057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2D04" w14:textId="77777777" w:rsidR="00D826B5" w:rsidRDefault="00D826B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1516" w14:textId="2ADB2E3C" w:rsidR="00F52FF0" w:rsidRDefault="00000000" w:rsidP="00F52FF0">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Updated </w:t>
    </w:r>
    <w:r w:rsidR="00F52FF0">
      <w:rPr>
        <w:sz w:val="16"/>
        <w:szCs w:val="16"/>
      </w:rPr>
      <w:t>11</w:t>
    </w:r>
    <w:r>
      <w:rPr>
        <w:color w:val="000000"/>
        <w:sz w:val="16"/>
        <w:szCs w:val="16"/>
      </w:rPr>
      <w:t>/</w:t>
    </w:r>
    <w:r w:rsidR="00F52FF0">
      <w:rPr>
        <w:color w:val="000000"/>
        <w:sz w:val="16"/>
        <w:szCs w:val="16"/>
      </w:rPr>
      <w:t>9</w:t>
    </w:r>
    <w:r>
      <w:rPr>
        <w:color w:val="000000"/>
        <w:sz w:val="16"/>
        <w:szCs w:val="16"/>
      </w:rPr>
      <w:t>/2</w:t>
    </w:r>
    <w:r w:rsidR="00F52FF0">
      <w:rPr>
        <w:color w:val="000000"/>
        <w:sz w:val="16"/>
        <w:szCs w:val="16"/>
      </w:rPr>
      <w:t>5</w:t>
    </w:r>
  </w:p>
  <w:p w14:paraId="1C79C3AE" w14:textId="77777777" w:rsidR="008160C9" w:rsidRDefault="008160C9">
    <w:pPr>
      <w:pBdr>
        <w:top w:val="nil"/>
        <w:left w:val="nil"/>
        <w:bottom w:val="nil"/>
        <w:right w:val="nil"/>
        <w:between w:val="nil"/>
      </w:pBdr>
      <w:tabs>
        <w:tab w:val="center" w:pos="4320"/>
        <w:tab w:val="right" w:pos="8640"/>
      </w:tabs>
      <w:jc w:val="center"/>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10EC" w14:textId="77777777" w:rsidR="00D826B5" w:rsidRDefault="00D826B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3D9F" w14:textId="77777777" w:rsidR="005722BD" w:rsidRDefault="005722BD">
      <w:r>
        <w:separator/>
      </w:r>
    </w:p>
  </w:footnote>
  <w:footnote w:type="continuationSeparator" w:id="0">
    <w:p w14:paraId="17F814BE" w14:textId="77777777" w:rsidR="005722BD" w:rsidRDefault="0057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C6B7" w14:textId="77777777" w:rsidR="00D826B5" w:rsidRDefault="00D826B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6727" w14:textId="77777777" w:rsidR="00D826B5" w:rsidRDefault="00000000">
    <w:pPr>
      <w:pBdr>
        <w:top w:val="nil"/>
        <w:left w:val="nil"/>
        <w:bottom w:val="nil"/>
        <w:right w:val="nil"/>
        <w:between w:val="nil"/>
      </w:pBdr>
      <w:tabs>
        <w:tab w:val="center" w:pos="4320"/>
        <w:tab w:val="right" w:pos="8640"/>
      </w:tabs>
      <w:jc w:val="center"/>
      <w:rPr>
        <w:b/>
        <w:color w:val="000000"/>
        <w:sz w:val="36"/>
        <w:szCs w:val="36"/>
      </w:rPr>
    </w:pPr>
    <w:r>
      <w:rPr>
        <w:b/>
        <w:color w:val="000000"/>
        <w:sz w:val="36"/>
        <w:szCs w:val="36"/>
      </w:rPr>
      <w:t>RAPP (Acute Pain) Resident Survival Guide</w:t>
    </w:r>
  </w:p>
  <w:p w14:paraId="6432EEB3" w14:textId="77777777" w:rsidR="00D826B5" w:rsidRDefault="00D826B5">
    <w:pPr>
      <w:pBdr>
        <w:top w:val="nil"/>
        <w:left w:val="nil"/>
        <w:bottom w:val="nil"/>
        <w:right w:val="nil"/>
        <w:between w:val="nil"/>
      </w:pBdr>
      <w:tabs>
        <w:tab w:val="center" w:pos="4320"/>
        <w:tab w:val="right" w:pos="8640"/>
      </w:tabs>
      <w:jc w:val="center"/>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BA17" w14:textId="77777777" w:rsidR="00D826B5" w:rsidRDefault="00D826B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82FB6"/>
    <w:multiLevelType w:val="multilevel"/>
    <w:tmpl w:val="3CD05A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E614A94"/>
    <w:multiLevelType w:val="multilevel"/>
    <w:tmpl w:val="B660F4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93381552">
    <w:abstractNumId w:val="1"/>
  </w:num>
  <w:num w:numId="2" w16cid:durableId="157693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B5"/>
    <w:rsid w:val="00124EF2"/>
    <w:rsid w:val="0012533A"/>
    <w:rsid w:val="001F7713"/>
    <w:rsid w:val="002505DF"/>
    <w:rsid w:val="005722BD"/>
    <w:rsid w:val="007716DE"/>
    <w:rsid w:val="007F2920"/>
    <w:rsid w:val="008160C9"/>
    <w:rsid w:val="008D5A4A"/>
    <w:rsid w:val="00902CFC"/>
    <w:rsid w:val="00923795"/>
    <w:rsid w:val="009E4B6F"/>
    <w:rsid w:val="00B83559"/>
    <w:rsid w:val="00D344FC"/>
    <w:rsid w:val="00D826B5"/>
    <w:rsid w:val="00E039EF"/>
    <w:rsid w:val="00F52FF0"/>
    <w:rsid w:val="00FA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0714"/>
  <w15:docId w15:val="{22C944A0-DD3E-44BA-958E-C86113A5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9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8059D"/>
    <w:pPr>
      <w:ind w:left="720"/>
      <w:contextualSpacing/>
    </w:pPr>
  </w:style>
  <w:style w:type="character" w:styleId="CommentReference">
    <w:name w:val="annotation reference"/>
    <w:basedOn w:val="DefaultParagraphFont"/>
    <w:uiPriority w:val="99"/>
    <w:semiHidden/>
    <w:unhideWhenUsed/>
    <w:rsid w:val="00A8059D"/>
    <w:rPr>
      <w:sz w:val="18"/>
      <w:szCs w:val="18"/>
    </w:rPr>
  </w:style>
  <w:style w:type="paragraph" w:styleId="CommentText">
    <w:name w:val="annotation text"/>
    <w:basedOn w:val="Normal"/>
    <w:link w:val="CommentTextChar"/>
    <w:uiPriority w:val="99"/>
    <w:semiHidden/>
    <w:unhideWhenUsed/>
    <w:rsid w:val="00A8059D"/>
  </w:style>
  <w:style w:type="character" w:customStyle="1" w:styleId="CommentTextChar">
    <w:name w:val="Comment Text Char"/>
    <w:basedOn w:val="DefaultParagraphFont"/>
    <w:link w:val="CommentText"/>
    <w:uiPriority w:val="99"/>
    <w:semiHidden/>
    <w:rsid w:val="00A8059D"/>
  </w:style>
  <w:style w:type="paragraph" w:styleId="BalloonText">
    <w:name w:val="Balloon Text"/>
    <w:basedOn w:val="Normal"/>
    <w:link w:val="BalloonTextChar"/>
    <w:uiPriority w:val="99"/>
    <w:semiHidden/>
    <w:unhideWhenUsed/>
    <w:rsid w:val="00A805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59D"/>
    <w:rPr>
      <w:rFonts w:ascii="Lucida Grande" w:hAnsi="Lucida Grande" w:cs="Lucida Grande"/>
      <w:sz w:val="18"/>
      <w:szCs w:val="18"/>
    </w:rPr>
  </w:style>
  <w:style w:type="table" w:styleId="TableGrid">
    <w:name w:val="Table Grid"/>
    <w:basedOn w:val="TableNormal"/>
    <w:uiPriority w:val="59"/>
    <w:rsid w:val="002B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0C3"/>
    <w:pPr>
      <w:tabs>
        <w:tab w:val="center" w:pos="4320"/>
        <w:tab w:val="right" w:pos="8640"/>
      </w:tabs>
    </w:pPr>
  </w:style>
  <w:style w:type="character" w:customStyle="1" w:styleId="HeaderChar">
    <w:name w:val="Header Char"/>
    <w:basedOn w:val="DefaultParagraphFont"/>
    <w:link w:val="Header"/>
    <w:uiPriority w:val="99"/>
    <w:rsid w:val="009B70C3"/>
  </w:style>
  <w:style w:type="paragraph" w:styleId="Footer">
    <w:name w:val="footer"/>
    <w:basedOn w:val="Normal"/>
    <w:link w:val="FooterChar"/>
    <w:uiPriority w:val="99"/>
    <w:unhideWhenUsed/>
    <w:rsid w:val="009B70C3"/>
    <w:pPr>
      <w:tabs>
        <w:tab w:val="center" w:pos="4320"/>
        <w:tab w:val="right" w:pos="8640"/>
      </w:tabs>
    </w:pPr>
  </w:style>
  <w:style w:type="character" w:customStyle="1" w:styleId="FooterChar">
    <w:name w:val="Footer Char"/>
    <w:basedOn w:val="DefaultParagraphFont"/>
    <w:link w:val="Footer"/>
    <w:uiPriority w:val="99"/>
    <w:rsid w:val="009B70C3"/>
  </w:style>
  <w:style w:type="character" w:styleId="Hyperlink">
    <w:name w:val="Hyperlink"/>
    <w:basedOn w:val="DefaultParagraphFont"/>
    <w:uiPriority w:val="99"/>
    <w:unhideWhenUsed/>
    <w:rsid w:val="00C4280E"/>
    <w:rPr>
      <w:color w:val="0000FF" w:themeColor="hyperlink"/>
      <w:u w:val="single"/>
    </w:rPr>
  </w:style>
  <w:style w:type="character" w:styleId="FollowedHyperlink">
    <w:name w:val="FollowedHyperlink"/>
    <w:basedOn w:val="DefaultParagraphFont"/>
    <w:uiPriority w:val="99"/>
    <w:semiHidden/>
    <w:unhideWhenUsed/>
    <w:rsid w:val="00C4280E"/>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0091">
      <w:bodyDiv w:val="1"/>
      <w:marLeft w:val="0"/>
      <w:marRight w:val="0"/>
      <w:marTop w:val="0"/>
      <w:marBottom w:val="0"/>
      <w:divBdr>
        <w:top w:val="none" w:sz="0" w:space="0" w:color="auto"/>
        <w:left w:val="none" w:sz="0" w:space="0" w:color="auto"/>
        <w:bottom w:val="none" w:sz="0" w:space="0" w:color="auto"/>
        <w:right w:val="none" w:sz="0" w:space="0" w:color="auto"/>
      </w:divBdr>
    </w:div>
    <w:div w:id="685594372">
      <w:bodyDiv w:val="1"/>
      <w:marLeft w:val="0"/>
      <w:marRight w:val="0"/>
      <w:marTop w:val="0"/>
      <w:marBottom w:val="0"/>
      <w:divBdr>
        <w:top w:val="none" w:sz="0" w:space="0" w:color="auto"/>
        <w:left w:val="none" w:sz="0" w:space="0" w:color="auto"/>
        <w:bottom w:val="none" w:sz="0" w:space="0" w:color="auto"/>
        <w:right w:val="none" w:sz="0" w:space="0" w:color="auto"/>
      </w:divBdr>
    </w:div>
    <w:div w:id="695348772">
      <w:bodyDiv w:val="1"/>
      <w:marLeft w:val="0"/>
      <w:marRight w:val="0"/>
      <w:marTop w:val="0"/>
      <w:marBottom w:val="0"/>
      <w:divBdr>
        <w:top w:val="none" w:sz="0" w:space="0" w:color="auto"/>
        <w:left w:val="none" w:sz="0" w:space="0" w:color="auto"/>
        <w:bottom w:val="none" w:sz="0" w:space="0" w:color="auto"/>
        <w:right w:val="none" w:sz="0" w:space="0" w:color="auto"/>
      </w:divBdr>
    </w:div>
    <w:div w:id="1156654437">
      <w:bodyDiv w:val="1"/>
      <w:marLeft w:val="0"/>
      <w:marRight w:val="0"/>
      <w:marTop w:val="0"/>
      <w:marBottom w:val="0"/>
      <w:divBdr>
        <w:top w:val="none" w:sz="0" w:space="0" w:color="auto"/>
        <w:left w:val="none" w:sz="0" w:space="0" w:color="auto"/>
        <w:bottom w:val="none" w:sz="0" w:space="0" w:color="auto"/>
        <w:right w:val="none" w:sz="0" w:space="0" w:color="auto"/>
      </w:divBdr>
    </w:div>
    <w:div w:id="1555653882">
      <w:bodyDiv w:val="1"/>
      <w:marLeft w:val="0"/>
      <w:marRight w:val="0"/>
      <w:marTop w:val="0"/>
      <w:marBottom w:val="0"/>
      <w:divBdr>
        <w:top w:val="none" w:sz="0" w:space="0" w:color="auto"/>
        <w:left w:val="none" w:sz="0" w:space="0" w:color="auto"/>
        <w:bottom w:val="none" w:sz="0" w:space="0" w:color="auto"/>
        <w:right w:val="none" w:sz="0" w:space="0" w:color="auto"/>
      </w:divBdr>
    </w:div>
    <w:div w:id="1711568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ikianesthesia.org/wiki/PracticeGroup:MGH/Acute_Pain:_Resident_Rot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CruQZzkKgLl63tLyS5t9R5JqQ==">AMUW2mWPWXXmayMC87MrjjSTr6un/hascBAl0XXN6iiw2hGVmWGM1UwO21cnK4Wa3lZ8+jM0+3xZD2fDjE2TgVwI66mBpx7dDLllGANqSbBK8dX0p81PNWU=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McDowell, Joseph L.,MD</dc:creator>
  <cp:lastModifiedBy>McDowell, Joseph L.,MD</cp:lastModifiedBy>
  <cp:revision>15</cp:revision>
  <dcterms:created xsi:type="dcterms:W3CDTF">2024-04-17T18:44:00Z</dcterms:created>
  <dcterms:modified xsi:type="dcterms:W3CDTF">2025-11-09T18:22:00Z</dcterms:modified>
</cp:coreProperties>
</file>