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FDE" w:rsidRPr="00CF681E" w:rsidRDefault="00DA2FDE" w:rsidP="00DA2FDE">
      <w:pPr>
        <w:pStyle w:val="H2"/>
        <w:rPr>
          <w:bCs/>
        </w:rPr>
      </w:pPr>
      <w:r>
        <w:fldChar w:fldCharType="begin"/>
      </w:r>
      <w:r>
        <w:instrText>HYPERLINK "http://cv.hms.harvard.edu/index.php?page=narrative"</w:instrText>
      </w:r>
      <w:r>
        <w:fldChar w:fldCharType="separate"/>
      </w:r>
      <w:r w:rsidRPr="00CF681E">
        <w:rPr>
          <w:rStyle w:val="Hyperlink"/>
          <w:bCs/>
          <w:szCs w:val="32"/>
        </w:rPr>
        <w:t>Narrative Report</w:t>
      </w:r>
      <w:r>
        <w:fldChar w:fldCharType="end"/>
      </w:r>
      <w:bookmarkStart w:id="0" w:name="_GoBack"/>
      <w:bookmarkEnd w:id="0"/>
    </w:p>
    <w:p w:rsidR="00DA2FDE" w:rsidRPr="00E82AF4" w:rsidRDefault="00DA2FDE" w:rsidP="00DA2FDE">
      <w:pPr>
        <w:pStyle w:val="NormalWeb"/>
        <w:spacing w:before="0" w:beforeAutospacing="0" w:after="0" w:afterAutospacing="0"/>
        <w:outlineLvl w:val="0"/>
        <w:rPr>
          <w:bCs/>
          <w:sz w:val="4"/>
        </w:rPr>
      </w:pPr>
    </w:p>
    <w:tbl>
      <w:tblPr>
        <w:tblW w:w="5000" w:type="pct"/>
        <w:tblBorders>
          <w:top w:val="single" w:sz="4" w:space="0" w:color="auto"/>
          <w:left w:val="single" w:sz="4" w:space="0" w:color="auto"/>
          <w:bottom w:val="single" w:sz="4" w:space="0" w:color="auto"/>
          <w:right w:val="single" w:sz="4" w:space="0" w:color="auto"/>
        </w:tblBorders>
        <w:tblCellMar>
          <w:left w:w="72" w:type="dxa"/>
          <w:right w:w="72" w:type="dxa"/>
        </w:tblCellMar>
        <w:tblLook w:val="01E0" w:firstRow="1" w:lastRow="1" w:firstColumn="1" w:lastColumn="1" w:noHBand="0" w:noVBand="0"/>
      </w:tblPr>
      <w:tblGrid>
        <w:gridCol w:w="10368"/>
      </w:tblGrid>
      <w:tr w:rsidR="00DA2FDE" w:rsidRPr="001756E0" w:rsidTr="0080631A">
        <w:trPr>
          <w:trHeight w:val="144"/>
          <w:hidden/>
        </w:trPr>
        <w:tc>
          <w:tcPr>
            <w:tcW w:w="5000" w:type="pct"/>
            <w:tcBorders>
              <w:top w:val="single" w:sz="4" w:space="0" w:color="auto"/>
              <w:bottom w:val="single" w:sz="4" w:space="0" w:color="auto"/>
            </w:tcBorders>
            <w:shd w:val="clear" w:color="auto" w:fill="CCCCCC"/>
          </w:tcPr>
          <w:p w:rsidR="00DA2FDE" w:rsidRPr="001756E0" w:rsidRDefault="00DA2FDE" w:rsidP="0080631A">
            <w:pPr>
              <w:pStyle w:val="NormalWeb"/>
              <w:spacing w:before="0" w:beforeAutospacing="0" w:after="0" w:afterAutospacing="0"/>
              <w:outlineLvl w:val="0"/>
              <w:rPr>
                <w:rFonts w:ascii="Times New Roman Italic" w:hAnsi="Times New Roman Italic"/>
                <w:b/>
                <w:bCs/>
                <w:vanish/>
                <w:color w:val="000080"/>
                <w:sz w:val="18"/>
              </w:rPr>
            </w:pPr>
            <w:r w:rsidRPr="001756E0">
              <w:rPr>
                <w:rFonts w:ascii="Times New Roman Italic" w:hAnsi="Times New Roman Italic"/>
                <w:bCs/>
                <w:vanish/>
                <w:color w:val="000080"/>
                <w:sz w:val="18"/>
              </w:rPr>
              <w:t>In general, we suggest the following structure for the narrative:</w:t>
            </w:r>
          </w:p>
          <w:p w:rsidR="00DA2FDE" w:rsidRPr="001756E0" w:rsidRDefault="00DA2FDE" w:rsidP="0080631A">
            <w:pPr>
              <w:pStyle w:val="NormalWeb"/>
              <w:numPr>
                <w:ilvl w:val="0"/>
                <w:numId w:val="1"/>
              </w:numPr>
              <w:spacing w:before="0" w:beforeAutospacing="0" w:after="0" w:afterAutospacing="0"/>
              <w:outlineLvl w:val="0"/>
              <w:rPr>
                <w:rFonts w:ascii="Times New Roman Italic" w:hAnsi="Times New Roman Italic"/>
                <w:b/>
                <w:bCs/>
                <w:vanish/>
                <w:color w:val="000080"/>
                <w:sz w:val="18"/>
              </w:rPr>
            </w:pPr>
            <w:r w:rsidRPr="001756E0">
              <w:rPr>
                <w:rFonts w:ascii="Times New Roman Italic" w:hAnsi="Times New Roman Italic"/>
                <w:bCs/>
                <w:vanish/>
                <w:color w:val="000080"/>
                <w:sz w:val="18"/>
              </w:rPr>
              <w:t>An opening paragraph that provides an overall summary of your major activities and achievements.  Include an estimate of the proportion of your effort dedicated to teaching, research, clinical service, administrative activities and other relevant professional roles</w:t>
            </w:r>
          </w:p>
          <w:p w:rsidR="00DA2FDE" w:rsidRPr="001756E0" w:rsidRDefault="00DA2FDE" w:rsidP="0080631A">
            <w:pPr>
              <w:pStyle w:val="NormalWeb"/>
              <w:numPr>
                <w:ilvl w:val="0"/>
                <w:numId w:val="1"/>
              </w:numPr>
              <w:spacing w:before="0" w:beforeAutospacing="0" w:after="0" w:afterAutospacing="0"/>
              <w:outlineLvl w:val="0"/>
              <w:rPr>
                <w:rFonts w:ascii="Times New Roman Italic" w:hAnsi="Times New Roman Italic"/>
                <w:b/>
                <w:bCs/>
                <w:vanish/>
                <w:color w:val="000080"/>
                <w:sz w:val="18"/>
              </w:rPr>
            </w:pPr>
            <w:r w:rsidRPr="001756E0">
              <w:rPr>
                <w:rFonts w:ascii="Times New Roman Italic" w:hAnsi="Times New Roman Italic"/>
                <w:bCs/>
                <w:vanish/>
                <w:color w:val="000080"/>
                <w:sz w:val="18"/>
              </w:rPr>
              <w:t xml:space="preserve">Description of achievements in your </w:t>
            </w:r>
            <w:r w:rsidRPr="001756E0">
              <w:rPr>
                <w:rFonts w:ascii="Times New Roman Italic" w:hAnsi="Times New Roman Italic"/>
                <w:b/>
                <w:bCs/>
                <w:vanish/>
                <w:color w:val="000080"/>
                <w:sz w:val="18"/>
              </w:rPr>
              <w:t xml:space="preserve">Area of Excellence </w:t>
            </w:r>
            <w:r w:rsidRPr="001756E0">
              <w:rPr>
                <w:rFonts w:ascii="Times New Roman Italic" w:hAnsi="Times New Roman Italic"/>
                <w:bCs/>
                <w:vanish/>
                <w:color w:val="000080"/>
                <w:sz w:val="18"/>
              </w:rPr>
              <w:t>(Investigation, Teaching and Educational Leadership, or Clinical Expertise and Innovation); may include a description of work in progress such as pending grants or manuscripts in preparation</w:t>
            </w:r>
          </w:p>
          <w:p w:rsidR="00DA2FDE" w:rsidRPr="001756E0" w:rsidRDefault="00DA2FDE" w:rsidP="0080631A">
            <w:pPr>
              <w:pStyle w:val="NormalWeb"/>
              <w:numPr>
                <w:ilvl w:val="0"/>
                <w:numId w:val="1"/>
              </w:numPr>
              <w:spacing w:before="0" w:beforeAutospacing="0" w:after="0" w:afterAutospacing="0"/>
              <w:outlineLvl w:val="0"/>
              <w:rPr>
                <w:rFonts w:ascii="Times New Roman Italic" w:hAnsi="Times New Roman Italic"/>
                <w:b/>
                <w:bCs/>
                <w:vanish/>
                <w:color w:val="000080"/>
                <w:sz w:val="18"/>
              </w:rPr>
            </w:pPr>
            <w:r w:rsidRPr="001756E0">
              <w:rPr>
                <w:rFonts w:ascii="Times New Roman Italic" w:hAnsi="Times New Roman Italic"/>
                <w:bCs/>
                <w:vanish/>
                <w:color w:val="000080"/>
                <w:sz w:val="18"/>
              </w:rPr>
              <w:t xml:space="preserve">Description of contributions to </w:t>
            </w:r>
            <w:r w:rsidRPr="001756E0">
              <w:rPr>
                <w:rFonts w:ascii="Times New Roman Italic" w:hAnsi="Times New Roman Italic"/>
                <w:b/>
                <w:bCs/>
                <w:vanish/>
                <w:color w:val="000080"/>
                <w:sz w:val="18"/>
              </w:rPr>
              <w:t>Teaching and Education</w:t>
            </w:r>
            <w:r w:rsidRPr="001756E0">
              <w:rPr>
                <w:rFonts w:ascii="Times New Roman Italic" w:hAnsi="Times New Roman Italic"/>
                <w:bCs/>
                <w:vanish/>
                <w:color w:val="000080"/>
                <w:sz w:val="18"/>
              </w:rPr>
              <w:t xml:space="preserve"> (if not your area of excellence).  This may include a description of mentorship activities not discussed elsewhere in the CV</w:t>
            </w:r>
          </w:p>
          <w:p w:rsidR="00DA2FDE" w:rsidRPr="001756E0" w:rsidRDefault="00DA2FDE" w:rsidP="0080631A">
            <w:pPr>
              <w:pStyle w:val="NormalWeb"/>
              <w:numPr>
                <w:ilvl w:val="0"/>
                <w:numId w:val="1"/>
              </w:numPr>
              <w:spacing w:before="0" w:beforeAutospacing="0" w:after="0" w:afterAutospacing="0"/>
              <w:outlineLvl w:val="0"/>
              <w:rPr>
                <w:rFonts w:ascii="Times New Roman Italic" w:hAnsi="Times New Roman Italic"/>
                <w:b/>
                <w:bCs/>
                <w:vanish/>
                <w:color w:val="000080"/>
                <w:sz w:val="18"/>
              </w:rPr>
            </w:pPr>
            <w:r w:rsidRPr="001756E0">
              <w:rPr>
                <w:rFonts w:ascii="Times New Roman Italic" w:hAnsi="Times New Roman Italic"/>
                <w:bCs/>
                <w:vanish/>
                <w:color w:val="000080"/>
                <w:sz w:val="18"/>
              </w:rPr>
              <w:t xml:space="preserve">Description of contributions in </w:t>
            </w:r>
            <w:r w:rsidRPr="001756E0">
              <w:rPr>
                <w:rFonts w:ascii="Times New Roman Italic" w:hAnsi="Times New Roman Italic"/>
                <w:b/>
                <w:bCs/>
                <w:vanish/>
                <w:color w:val="000080"/>
                <w:sz w:val="18"/>
              </w:rPr>
              <w:t>Significant Supporting Activities</w:t>
            </w:r>
            <w:r w:rsidRPr="001756E0">
              <w:rPr>
                <w:rFonts w:ascii="Times New Roman Italic" w:hAnsi="Times New Roman Italic"/>
                <w:bCs/>
                <w:vanish/>
                <w:color w:val="000080"/>
                <w:sz w:val="18"/>
              </w:rPr>
              <w:t>, if any</w:t>
            </w:r>
          </w:p>
          <w:p w:rsidR="00DA2FDE" w:rsidRPr="008E2C45" w:rsidRDefault="00DA2FDE" w:rsidP="0080631A">
            <w:pPr>
              <w:pStyle w:val="instruction"/>
              <w:numPr>
                <w:ilvl w:val="0"/>
                <w:numId w:val="1"/>
              </w:numPr>
            </w:pPr>
            <w:r w:rsidRPr="00560D97">
              <w:t>A final paragraph that integrates and summarizes the contributions described above</w:t>
            </w:r>
          </w:p>
        </w:tc>
      </w:tr>
    </w:tbl>
    <w:p w:rsidR="00DA2FDE" w:rsidRPr="00BA3640" w:rsidRDefault="00DA2FDE" w:rsidP="00DA2FDE">
      <w:pPr>
        <w:rPr>
          <w:sz w:val="16"/>
        </w:rPr>
      </w:pPr>
    </w:p>
    <w:tbl>
      <w:tblPr>
        <w:tblW w:w="0" w:type="auto"/>
        <w:tblLook w:val="00A0" w:firstRow="1" w:lastRow="0" w:firstColumn="1" w:lastColumn="0" w:noHBand="0" w:noVBand="0"/>
      </w:tblPr>
      <w:tblGrid>
        <w:gridCol w:w="9576"/>
      </w:tblGrid>
      <w:tr w:rsidR="00DA2FDE" w:rsidRPr="008E2C45" w:rsidTr="0080631A">
        <w:trPr>
          <w:trHeight w:val="60"/>
        </w:trPr>
        <w:tc>
          <w:tcPr>
            <w:tcW w:w="10440" w:type="dxa"/>
          </w:tcPr>
          <w:p w:rsidR="00DA2FDE" w:rsidRPr="00BC5A07" w:rsidRDefault="00DA2FDE" w:rsidP="0080631A">
            <w:pPr>
              <w:ind w:firstLine="720"/>
            </w:pPr>
            <w:r w:rsidRPr="00BC5A07">
              <w:t xml:space="preserve">I have been a physician-scientist at </w:t>
            </w:r>
            <w:r w:rsidRPr="00BC5A07">
              <w:rPr>
                <w:lang w:eastAsia="zh-CN"/>
              </w:rPr>
              <w:t xml:space="preserve">MGH since 2000, </w:t>
            </w:r>
            <w:r>
              <w:rPr>
                <w:lang w:eastAsia="zh-CN"/>
              </w:rPr>
              <w:t>and have made significant impact to the Geriatric Anesthesia.</w:t>
            </w:r>
          </w:p>
          <w:p w:rsidR="00DA2FDE" w:rsidRPr="00BC5A07" w:rsidRDefault="00DA2FDE" w:rsidP="0080631A">
            <w:pPr>
              <w:ind w:right="144" w:firstLine="720"/>
            </w:pPr>
            <w:r w:rsidRPr="00BC5A07">
              <w:t>I serve as Director of the Geriatric Anesthesia Research Unit in the Department of Anesthesia, Critical Care and Pain Medicine at MGH. The long-term mission of our Unit, which currently has one junior faculty, 10 research fellows, two research assistants and one Ph.D. student, is to study the neurotoxic potential of anesthetics and other perioperative factors on Alzheimer’s disease (AD) pathology, which include</w:t>
            </w:r>
            <w:r>
              <w:t>s</w:t>
            </w:r>
            <w:r w:rsidRPr="00BC5A07">
              <w:t xml:space="preserve"> basic science studies, translational research and clinical investigation, and aim</w:t>
            </w:r>
            <w:r>
              <w:t>s</w:t>
            </w:r>
            <w:r w:rsidRPr="00BC5A07">
              <w:t xml:space="preserve"> to elucidate the neuropathogenesis of postoperative cognitive dysfunction (POCD). </w:t>
            </w:r>
            <w:r w:rsidRPr="001756E0">
              <w:rPr>
                <w:szCs w:val="13"/>
              </w:rPr>
              <w:t>These studies were supported by various grants. Currently, I am a principal investigator for two R01, one R21, one foundation, and one department grants.</w:t>
            </w:r>
            <w:r w:rsidRPr="00BC5A07">
              <w:t xml:space="preserve"> I have collaborated w</w:t>
            </w:r>
            <w:r>
              <w:t xml:space="preserve">ith Drs. Rudy </w:t>
            </w:r>
            <w:proofErr w:type="spellStart"/>
            <w:r>
              <w:t>Tanzi</w:t>
            </w:r>
            <w:proofErr w:type="spellEnd"/>
            <w:r>
              <w:t>, Keith Johnson</w:t>
            </w:r>
            <w:r w:rsidRPr="00BC5A07">
              <w:t xml:space="preserve"> an</w:t>
            </w:r>
            <w:r>
              <w:t xml:space="preserve">d Vamsi </w:t>
            </w:r>
            <w:proofErr w:type="spellStart"/>
            <w:r>
              <w:t>Mootha</w:t>
            </w:r>
            <w:proofErr w:type="spellEnd"/>
            <w:r w:rsidRPr="00BC5A07">
              <w:t xml:space="preserve"> in MGH, Drs. Greg Crosby and Deborah Culley at BWH, Dr. Edward Marcantonio in BIDMC, and </w:t>
            </w:r>
            <w:r>
              <w:t xml:space="preserve">investigators in Shanghai and </w:t>
            </w:r>
            <w:r w:rsidRPr="00BC5A07">
              <w:t>Beijing, P. R. China.</w:t>
            </w:r>
          </w:p>
          <w:p w:rsidR="00DA2FDE" w:rsidRPr="00BC5A07" w:rsidRDefault="00DA2FDE" w:rsidP="0080631A">
            <w:pPr>
              <w:ind w:firstLine="720"/>
            </w:pPr>
            <w:r w:rsidRPr="00BC5A07">
              <w:t xml:space="preserve">Our research work has earned us </w:t>
            </w:r>
            <w:r>
              <w:t xml:space="preserve">a </w:t>
            </w:r>
            <w:r w:rsidRPr="00BC5A07">
              <w:t xml:space="preserve">national and international reputation in the field of AD and POCD research. I was invited to present our research findings in prestigious institutes, as well as in national and international meetings, to write editorials for prestigious journals, e.g., Annals of Neurology and Anesthesiology. I serve as Editor in Chief, Academic Editor, Section Editor, and </w:t>
            </w:r>
            <w:r>
              <w:t xml:space="preserve">on the </w:t>
            </w:r>
            <w:r w:rsidRPr="00BC5A07">
              <w:t>Editor</w:t>
            </w:r>
            <w:r>
              <w:t>ial</w:t>
            </w:r>
            <w:r w:rsidRPr="00BC5A07">
              <w:t xml:space="preserve"> boards of several </w:t>
            </w:r>
            <w:r w:rsidRPr="001756E0">
              <w:rPr>
                <w:szCs w:val="13"/>
              </w:rPr>
              <w:t xml:space="preserve">scientific journals and am </w:t>
            </w:r>
            <w:r w:rsidRPr="00BC5A07">
              <w:t>co-chair for international workshops of anesthesia neurotoxicity. I am the reviewer for national and international grants, including NIH</w:t>
            </w:r>
            <w:r>
              <w:t xml:space="preserve"> (regular member of study section)</w:t>
            </w:r>
            <w:r w:rsidRPr="00BC5A07">
              <w:t xml:space="preserve">. </w:t>
            </w:r>
            <w:r>
              <w:rPr>
                <w:szCs w:val="13"/>
              </w:rPr>
              <w:t>I have trained more than 3</w:t>
            </w:r>
            <w:r w:rsidRPr="001756E0">
              <w:rPr>
                <w:szCs w:val="13"/>
              </w:rPr>
              <w:t>0 research fellows since I became an independent principal investigator. Some of them have become independent researchers, e.g., Instructor of Anesthesia in Harvard Medical School, Professor of Pathology and Anesthesiology in China Medical University and Beijing Capital Medical University.</w:t>
            </w:r>
          </w:p>
          <w:p w:rsidR="00DA2FDE" w:rsidRPr="00BC5A07" w:rsidRDefault="00DA2FDE" w:rsidP="0080631A">
            <w:pPr>
              <w:ind w:firstLine="720"/>
            </w:pPr>
            <w:r w:rsidRPr="00BC5A07">
              <w:t>Additionally, I have devoted myself to clinical activity and education of geriatric anesthesia by serving as president and committee members of geriatric anesthesia related associations. I have given le</w:t>
            </w:r>
            <w:r>
              <w:t>ctures, written book chapters, n</w:t>
            </w:r>
            <w:r w:rsidRPr="00BC5A07">
              <w:t>ewsletter</w:t>
            </w:r>
            <w:r>
              <w:t>s</w:t>
            </w:r>
            <w:r w:rsidRPr="00BC5A07">
              <w:t xml:space="preserve"> and lay language material of geriatric anesthesia. I also provide anesthesia care for patients who undergo some of the most complicated surgeries, such as tracheal resection and reconstruction, lung resection, esophagus resection, and lung transplantation. I have been active in teaching medical students, residents, as well as clinical and research fellows in both clinical settings and in </w:t>
            </w:r>
            <w:r>
              <w:t xml:space="preserve">the </w:t>
            </w:r>
            <w:r w:rsidRPr="00BC5A07">
              <w:t xml:space="preserve">laboratory. </w:t>
            </w:r>
            <w:r>
              <w:t xml:space="preserve"> </w:t>
            </w:r>
            <w:r w:rsidRPr="00BC5A07">
              <w:t xml:space="preserve">Furthermore, I have also been involved in patient education and community service. </w:t>
            </w:r>
          </w:p>
          <w:p w:rsidR="00DA2FDE" w:rsidRPr="001756E0" w:rsidRDefault="00DA2FDE" w:rsidP="0080631A">
            <w:pPr>
              <w:ind w:firstLine="720"/>
              <w:rPr>
                <w:color w:val="0000FF"/>
              </w:rPr>
            </w:pPr>
            <w:r w:rsidRPr="00BC5A07">
              <w:t>In summary, I have focused my research on geriatric anesthesia, studying the</w:t>
            </w:r>
            <w:r w:rsidRPr="001756E0">
              <w:rPr>
                <w:rFonts w:cs="SimSun"/>
                <w:lang w:eastAsia="zh-CN"/>
              </w:rPr>
              <w:t xml:space="preserve"> </w:t>
            </w:r>
            <w:r w:rsidRPr="00BC5A07">
              <w:t>effects of anesthetics</w:t>
            </w:r>
            <w:r>
              <w:t xml:space="preserve"> and other perioperative factors</w:t>
            </w:r>
            <w:r w:rsidRPr="00BC5A07">
              <w:t xml:space="preserve"> on AD neuropathogenesis, with </w:t>
            </w:r>
            <w:r>
              <w:t xml:space="preserve">a </w:t>
            </w:r>
            <w:r w:rsidRPr="00BC5A07">
              <w:t xml:space="preserve">national and international reputation. As an anesthesiologist, I provide </w:t>
            </w:r>
            <w:proofErr w:type="spellStart"/>
            <w:r w:rsidRPr="00BC5A07">
              <w:t>anaesthesia</w:t>
            </w:r>
            <w:proofErr w:type="spellEnd"/>
            <w:r w:rsidRPr="00BC5A07">
              <w:t xml:space="preserve"> care for geriatric patients in the challenging subspecialties of thoracic </w:t>
            </w:r>
            <w:proofErr w:type="spellStart"/>
            <w:r w:rsidRPr="00BC5A07">
              <w:t>anaesthesia</w:t>
            </w:r>
            <w:proofErr w:type="spellEnd"/>
            <w:r w:rsidRPr="00BC5A07">
              <w:t>. As an expert in geriatric anesthesia, I teach clinicians about anesthesia care for older adults locally, nationally and internationally. My efforts in research, clinical practice and educatio</w:t>
            </w:r>
            <w:r>
              <w:t xml:space="preserve">n of geriatric anesthesia would </w:t>
            </w:r>
            <w:r w:rsidRPr="00BC5A07">
              <w:t>likely change the current anesthesia practice, especially for senior patients and AD patients, who are vulnerable to develop</w:t>
            </w:r>
            <w:r>
              <w:t>ing</w:t>
            </w:r>
            <w:r w:rsidRPr="00BC5A07">
              <w:t xml:space="preserve"> POCD.</w:t>
            </w:r>
            <w:r w:rsidRPr="001756E0">
              <w:rPr>
                <w:color w:val="0000FF"/>
              </w:rPr>
              <w:t xml:space="preserve"> </w:t>
            </w:r>
          </w:p>
        </w:tc>
      </w:tr>
    </w:tbl>
    <w:p w:rsidR="00B41E5A" w:rsidRDefault="00B41E5A"/>
    <w:sectPr w:rsidR="00B41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2020503050405090304"/>
    <w:charset w:val="00"/>
    <w:family w:val="auto"/>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644B2"/>
    <w:multiLevelType w:val="hybridMultilevel"/>
    <w:tmpl w:val="662290B2"/>
    <w:lvl w:ilvl="0" w:tplc="42483A5E">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DE"/>
    <w:rsid w:val="00B41E5A"/>
    <w:rsid w:val="00DA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33F2"/>
  <w15:chartTrackingRefBased/>
  <w15:docId w15:val="{FE2DA5A8-1297-4A05-BECE-FD21D4DD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FD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A2FDE"/>
    <w:pPr>
      <w:spacing w:before="100" w:beforeAutospacing="1" w:after="100" w:afterAutospacing="1"/>
    </w:pPr>
  </w:style>
  <w:style w:type="character" w:styleId="Hyperlink">
    <w:name w:val="Hyperlink"/>
    <w:uiPriority w:val="99"/>
    <w:rsid w:val="00DA2FDE"/>
    <w:rPr>
      <w:rFonts w:cs="Times New Roman"/>
      <w:color w:val="0000FF"/>
      <w:u w:val="single"/>
    </w:rPr>
  </w:style>
  <w:style w:type="paragraph" w:customStyle="1" w:styleId="instruction">
    <w:name w:val="instruction"/>
    <w:basedOn w:val="Normal"/>
    <w:rsid w:val="00DA2FDE"/>
    <w:pPr>
      <w:ind w:left="64"/>
    </w:pPr>
    <w:rPr>
      <w:rFonts w:ascii="Times New Roman Italic" w:hAnsi="Times New Roman Italic"/>
      <w:vanish/>
      <w:color w:val="000080"/>
      <w:sz w:val="18"/>
    </w:rPr>
  </w:style>
  <w:style w:type="paragraph" w:customStyle="1" w:styleId="H2">
    <w:name w:val="H2"/>
    <w:basedOn w:val="NormalWeb"/>
    <w:rsid w:val="00DA2FDE"/>
    <w:pPr>
      <w:tabs>
        <w:tab w:val="num" w:pos="1320"/>
      </w:tabs>
      <w:spacing w:before="120" w:beforeAutospacing="0" w:after="40" w:afterAutospacing="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Corbosiero, Amy M.</dc:creator>
  <cp:keywords/>
  <dc:description/>
  <cp:lastModifiedBy>Corbosiero, Amy M.</cp:lastModifiedBy>
  <cp:revision>1</cp:revision>
  <dcterms:created xsi:type="dcterms:W3CDTF">2019-02-28T21:29:00Z</dcterms:created>
  <dcterms:modified xsi:type="dcterms:W3CDTF">2019-02-28T21:30:00Z</dcterms:modified>
</cp:coreProperties>
</file>